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67" w:rsidRDefault="00077E67">
      <w:pPr>
        <w:autoSpaceDE w:val="0"/>
        <w:autoSpaceDN w:val="0"/>
        <w:adjustRightInd w:val="0"/>
        <w:spacing w:after="0" w:line="240" w:lineRule="auto"/>
        <w:ind w:right="-46"/>
        <w:jc w:val="center"/>
        <w:rPr>
          <w:rFonts w:ascii="Palatino Linotype" w:hAnsi="Palatino Linotype" w:cs="Nirmala UI"/>
          <w:b/>
          <w:color w:val="000000" w:themeColor="text1"/>
          <w:sz w:val="30"/>
          <w:szCs w:val="30"/>
          <w:lang w:val="en-US"/>
        </w:rPr>
      </w:pPr>
    </w:p>
    <w:p w:rsidR="009C17FA" w:rsidRPr="009C17FA" w:rsidRDefault="009C17FA" w:rsidP="009C17FA">
      <w:pPr>
        <w:pStyle w:val="NoSpacing"/>
        <w:jc w:val="both"/>
        <w:rPr>
          <w:rFonts w:ascii="Palatino Linotype" w:hAnsi="Palatino Linotype"/>
          <w:b/>
          <w:sz w:val="24"/>
          <w:szCs w:val="24"/>
        </w:rPr>
      </w:pPr>
      <w:r w:rsidRPr="009C17FA">
        <w:rPr>
          <w:rFonts w:ascii="Palatino Linotype" w:hAnsi="Palatino Linotype"/>
          <w:b/>
          <w:sz w:val="24"/>
          <w:szCs w:val="24"/>
        </w:rPr>
        <w:t>A study of Firm Size, Growth, Capital Structure, and Insider Ownership toward Financial Performa</w:t>
      </w:r>
      <w:r>
        <w:rPr>
          <w:rFonts w:ascii="Palatino Linotype" w:hAnsi="Palatino Linotype"/>
          <w:b/>
          <w:sz w:val="24"/>
          <w:szCs w:val="24"/>
        </w:rPr>
        <w:t>n</w:t>
      </w:r>
      <w:r w:rsidRPr="009C17FA">
        <w:rPr>
          <w:rFonts w:ascii="Palatino Linotype" w:hAnsi="Palatino Linotype"/>
          <w:b/>
          <w:sz w:val="24"/>
          <w:szCs w:val="24"/>
        </w:rPr>
        <w:t xml:space="preserve">ce </w:t>
      </w:r>
    </w:p>
    <w:p w:rsidR="009C17FA" w:rsidRDefault="009C17FA">
      <w:pPr>
        <w:autoSpaceDE w:val="0"/>
        <w:autoSpaceDN w:val="0"/>
        <w:adjustRightInd w:val="0"/>
        <w:spacing w:after="0" w:line="240" w:lineRule="auto"/>
        <w:ind w:right="-46"/>
        <w:rPr>
          <w:rFonts w:ascii="Palatino Linotype" w:hAnsi="Palatino Linotype" w:cs="Nirmala UI"/>
          <w:b/>
          <w:color w:val="000000" w:themeColor="text1"/>
          <w:sz w:val="24"/>
          <w:szCs w:val="24"/>
          <w:lang w:val="en-US"/>
        </w:rPr>
      </w:pPr>
    </w:p>
    <w:p w:rsidR="00077E67" w:rsidRPr="00A30D3F" w:rsidRDefault="00077E67">
      <w:pPr>
        <w:autoSpaceDE w:val="0"/>
        <w:autoSpaceDN w:val="0"/>
        <w:adjustRightInd w:val="0"/>
        <w:spacing w:after="0" w:line="240" w:lineRule="auto"/>
        <w:rPr>
          <w:rFonts w:ascii="Palatino Linotype" w:hAnsi="Palatino Linotype"/>
          <w:color w:val="000000" w:themeColor="text1"/>
          <w:sz w:val="20"/>
          <w:szCs w:val="20"/>
          <w:lang w:val="en-US"/>
        </w:rPr>
      </w:pPr>
      <w:bookmarkStart w:id="0" w:name="_GoBack"/>
      <w:bookmarkEnd w:id="0"/>
    </w:p>
    <w:p w:rsidR="00077E67" w:rsidRDefault="009C17FA">
      <w:pPr>
        <w:autoSpaceDE w:val="0"/>
        <w:autoSpaceDN w:val="0"/>
        <w:adjustRightInd w:val="0"/>
        <w:spacing w:after="0" w:line="240" w:lineRule="auto"/>
        <w:rPr>
          <w:rFonts w:ascii="Palatino Linotype" w:hAnsi="Palatino Linotype"/>
          <w:b/>
          <w:color w:val="000000" w:themeColor="text1"/>
          <w:sz w:val="24"/>
          <w:szCs w:val="26"/>
          <w:lang w:val="en-US"/>
        </w:rPr>
      </w:pPr>
      <w:r>
        <w:rPr>
          <w:rFonts w:ascii="Palatino Linotype" w:hAnsi="Palatino Linotype"/>
          <w:b/>
          <w:color w:val="000000" w:themeColor="text1"/>
          <w:sz w:val="24"/>
          <w:szCs w:val="26"/>
          <w:lang w:val="en-US"/>
        </w:rPr>
        <w:t xml:space="preserve">Mia Angelina </w:t>
      </w:r>
      <w:proofErr w:type="spellStart"/>
      <w:r>
        <w:rPr>
          <w:rFonts w:ascii="Palatino Linotype" w:hAnsi="Palatino Linotype"/>
          <w:b/>
          <w:color w:val="000000" w:themeColor="text1"/>
          <w:sz w:val="24"/>
          <w:szCs w:val="26"/>
          <w:lang w:val="en-US"/>
        </w:rPr>
        <w:t>Setiawan</w:t>
      </w:r>
      <w:proofErr w:type="spellEnd"/>
      <w:r>
        <w:rPr>
          <w:rFonts w:ascii="Palatino Linotype" w:hAnsi="Palatino Linotype"/>
          <w:b/>
          <w:color w:val="000000" w:themeColor="text1"/>
          <w:sz w:val="24"/>
          <w:szCs w:val="26"/>
          <w:lang w:val="en-US"/>
        </w:rPr>
        <w:t xml:space="preserve"> </w:t>
      </w:r>
    </w:p>
    <w:p w:rsidR="00077E67" w:rsidRDefault="009C17FA" w:rsidP="009C17FA">
      <w:pPr>
        <w:autoSpaceDE w:val="0"/>
        <w:autoSpaceDN w:val="0"/>
        <w:adjustRightInd w:val="0"/>
        <w:spacing w:after="0" w:line="240" w:lineRule="auto"/>
        <w:rPr>
          <w:rFonts w:ascii="Palatino Linotype" w:hAnsi="Palatino Linotype"/>
          <w:color w:val="000000" w:themeColor="text1"/>
          <w:sz w:val="20"/>
          <w:szCs w:val="20"/>
          <w:lang w:val="en-US"/>
        </w:rPr>
      </w:pPr>
      <w:proofErr w:type="spellStart"/>
      <w:r>
        <w:rPr>
          <w:rFonts w:ascii="Palatino Linotype" w:hAnsi="Palatino Linotype"/>
          <w:color w:val="000000" w:themeColor="text1"/>
          <w:sz w:val="20"/>
          <w:szCs w:val="20"/>
          <w:lang w:val="en-US"/>
        </w:rPr>
        <w:t>Departement</w:t>
      </w:r>
      <w:proofErr w:type="spellEnd"/>
      <w:r>
        <w:rPr>
          <w:rFonts w:ascii="Palatino Linotype" w:hAnsi="Palatino Linotype"/>
          <w:color w:val="000000" w:themeColor="text1"/>
          <w:sz w:val="20"/>
          <w:szCs w:val="20"/>
          <w:lang w:val="en-US"/>
        </w:rPr>
        <w:t xml:space="preserve"> of Accounting</w:t>
      </w:r>
      <w:r w:rsidR="0083239A">
        <w:rPr>
          <w:rFonts w:ascii="Palatino Linotype" w:hAnsi="Palatino Linotype"/>
          <w:color w:val="000000" w:themeColor="text1"/>
          <w:sz w:val="20"/>
          <w:szCs w:val="20"/>
          <w:lang w:val="en-US"/>
        </w:rPr>
        <w:t xml:space="preserve">, </w:t>
      </w:r>
      <w:proofErr w:type="spellStart"/>
      <w:r>
        <w:rPr>
          <w:rFonts w:ascii="Palatino Linotype" w:hAnsi="Palatino Linotype"/>
          <w:color w:val="000000" w:themeColor="text1"/>
          <w:sz w:val="20"/>
          <w:szCs w:val="20"/>
          <w:lang w:val="en-US"/>
        </w:rPr>
        <w:t>Universitas</w:t>
      </w:r>
      <w:proofErr w:type="spellEnd"/>
      <w:r>
        <w:rPr>
          <w:rFonts w:ascii="Palatino Linotype" w:hAnsi="Palatino Linotype"/>
          <w:color w:val="000000" w:themeColor="text1"/>
          <w:sz w:val="20"/>
          <w:szCs w:val="20"/>
          <w:lang w:val="en-US"/>
        </w:rPr>
        <w:t xml:space="preserve"> </w:t>
      </w:r>
      <w:proofErr w:type="spellStart"/>
      <w:r>
        <w:rPr>
          <w:rFonts w:ascii="Palatino Linotype" w:hAnsi="Palatino Linotype"/>
          <w:color w:val="000000" w:themeColor="text1"/>
          <w:sz w:val="20"/>
          <w:szCs w:val="20"/>
          <w:lang w:val="en-US"/>
        </w:rPr>
        <w:t>Negeri</w:t>
      </w:r>
      <w:proofErr w:type="spellEnd"/>
      <w:r>
        <w:rPr>
          <w:rFonts w:ascii="Palatino Linotype" w:hAnsi="Palatino Linotype"/>
          <w:color w:val="000000" w:themeColor="text1"/>
          <w:sz w:val="20"/>
          <w:szCs w:val="20"/>
          <w:lang w:val="en-US"/>
        </w:rPr>
        <w:t xml:space="preserve"> Padang, Padang, Indonesia</w:t>
      </w:r>
      <w:r w:rsidR="0083239A">
        <w:rPr>
          <w:rFonts w:ascii="Palatino Linotype" w:hAnsi="Palatino Linotype"/>
          <w:color w:val="000000" w:themeColor="text1"/>
          <w:sz w:val="20"/>
          <w:szCs w:val="20"/>
          <w:lang w:val="en-US"/>
        </w:rPr>
        <w:t xml:space="preserve">, </w:t>
      </w:r>
      <w:hyperlink r:id="rId10" w:history="1">
        <w:r w:rsidRPr="00F63E2F">
          <w:rPr>
            <w:rStyle w:val="Hyperlink"/>
            <w:rFonts w:ascii="Palatino Linotype" w:hAnsi="Palatino Linotype"/>
            <w:sz w:val="20"/>
            <w:szCs w:val="20"/>
            <w:lang w:val="en-US"/>
          </w:rPr>
          <w:t>miaangelinasetiawan@gmail.com</w:t>
        </w:r>
      </w:hyperlink>
      <w:r>
        <w:rPr>
          <w:rFonts w:ascii="Palatino Linotype" w:hAnsi="Palatino Linotype"/>
          <w:color w:val="000000" w:themeColor="text1"/>
          <w:sz w:val="20"/>
          <w:szCs w:val="20"/>
          <w:lang w:val="en-US"/>
        </w:rPr>
        <w:t xml:space="preserve"> </w:t>
      </w:r>
    </w:p>
    <w:p w:rsidR="00077E67" w:rsidRDefault="00077E67">
      <w:pPr>
        <w:autoSpaceDE w:val="0"/>
        <w:autoSpaceDN w:val="0"/>
        <w:adjustRightInd w:val="0"/>
        <w:spacing w:after="0" w:line="360" w:lineRule="auto"/>
        <w:rPr>
          <w:rFonts w:ascii="Humanst521 BT" w:hAnsi="Humanst521 BT"/>
          <w:color w:val="000000" w:themeColor="text1"/>
          <w:sz w:val="20"/>
          <w:szCs w:val="24"/>
          <w:lang w:val="en-US"/>
        </w:rPr>
      </w:pPr>
    </w:p>
    <w:p w:rsidR="00077E67" w:rsidRDefault="0083239A">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r>
        <w:rPr>
          <w:rFonts w:ascii="Palatino Linotype" w:hAnsi="Palatino Linotype"/>
          <w:sz w:val="24"/>
          <w:szCs w:val="20"/>
        </w:rPr>
        <w:t xml:space="preserve"> </w:t>
      </w:r>
    </w:p>
    <w:p w:rsidR="009C17FA" w:rsidRPr="009C17FA" w:rsidRDefault="009C17FA" w:rsidP="009C17FA">
      <w:pPr>
        <w:autoSpaceDE w:val="0"/>
        <w:autoSpaceDN w:val="0"/>
        <w:adjustRightInd w:val="0"/>
        <w:spacing w:after="0" w:line="240" w:lineRule="auto"/>
        <w:ind w:left="1170"/>
        <w:jc w:val="both"/>
        <w:rPr>
          <w:rFonts w:ascii="Palatino Linotype" w:hAnsi="Palatino Linotype"/>
          <w:iCs/>
          <w:sz w:val="20"/>
          <w:szCs w:val="20"/>
        </w:rPr>
      </w:pPr>
      <w:r w:rsidRPr="009C17FA">
        <w:rPr>
          <w:rFonts w:ascii="Palatino Linotype" w:hAnsi="Palatino Linotype"/>
          <w:sz w:val="20"/>
          <w:szCs w:val="20"/>
        </w:rPr>
        <w:t xml:space="preserve">This research aims to examine the effect of firm size, growth, capital structure and insider ownership to financial performance of companies listed in the Indonesia Stock Exchange. The population is all companies listed on the Indonesia Stock Exchange with the research period of 2009 – 2011. </w:t>
      </w:r>
      <w:r w:rsidRPr="009C17FA">
        <w:rPr>
          <w:rFonts w:ascii="Palatino Linotype" w:hAnsi="Palatino Linotype"/>
          <w:iCs/>
          <w:sz w:val="20"/>
          <w:szCs w:val="20"/>
        </w:rPr>
        <w:t xml:space="preserve">Sample used is purposive sampling method amount to 66 companies. The method of analysis used in this study is by using statistical analysis and multiple linear regression analysis. </w:t>
      </w:r>
    </w:p>
    <w:p w:rsidR="009C17FA" w:rsidRPr="009C17FA" w:rsidRDefault="009C17FA" w:rsidP="009C17FA">
      <w:pPr>
        <w:pStyle w:val="NoSpacing"/>
        <w:rPr>
          <w:rFonts w:ascii="Palatino Linotype" w:hAnsi="Palatino Linotype"/>
          <w:sz w:val="20"/>
          <w:szCs w:val="20"/>
        </w:rPr>
      </w:pPr>
    </w:p>
    <w:p w:rsidR="009C17FA" w:rsidRPr="009C17FA" w:rsidRDefault="009C17FA" w:rsidP="009C17FA">
      <w:pPr>
        <w:spacing w:line="240" w:lineRule="auto"/>
        <w:ind w:left="1170"/>
        <w:jc w:val="both"/>
        <w:rPr>
          <w:rFonts w:ascii="Palatino Linotype" w:hAnsi="Palatino Linotype"/>
          <w:sz w:val="20"/>
          <w:szCs w:val="20"/>
        </w:rPr>
      </w:pPr>
      <w:r w:rsidRPr="009C17FA">
        <w:rPr>
          <w:rFonts w:ascii="Palatino Linotype" w:hAnsi="Palatino Linotype"/>
          <w:sz w:val="20"/>
          <w:szCs w:val="20"/>
        </w:rPr>
        <w:t>The results showed that firm size and insider ownership does not affect the financial performance as measured by the proxy return on assets (ROA). In the other side,  growth and capital structure has positive influence on financial performance as measured by the proxy return on assets (ROA) the resulting for manufacturing period from 2009 to 2011. This research also shows that the financial crisis did not give negative effect to financial performance of the company, resulting from the viewed of growth and capital structure.</w:t>
      </w:r>
    </w:p>
    <w:p w:rsidR="00077E67" w:rsidRDefault="00077E67">
      <w:pPr>
        <w:spacing w:after="0" w:line="240" w:lineRule="auto"/>
        <w:ind w:right="522"/>
        <w:jc w:val="both"/>
        <w:rPr>
          <w:rFonts w:ascii="Palatino Linotype" w:hAnsi="Palatino Linotype"/>
          <w:color w:val="000000" w:themeColor="text1"/>
          <w:sz w:val="20"/>
          <w:szCs w:val="20"/>
          <w:lang w:val="en-US"/>
        </w:rPr>
      </w:pPr>
    </w:p>
    <w:p w:rsidR="009C17FA" w:rsidRPr="009C17FA" w:rsidRDefault="0083239A" w:rsidP="009C17FA">
      <w:pPr>
        <w:spacing w:line="240" w:lineRule="auto"/>
        <w:ind w:left="1170"/>
        <w:jc w:val="both"/>
        <w:rPr>
          <w:rFonts w:ascii="Palatino Linotype" w:hAnsi="Palatino Linotype"/>
          <w:sz w:val="20"/>
          <w:szCs w:val="20"/>
          <w:lang w:val="en-US"/>
        </w:rPr>
      </w:pPr>
      <w:r>
        <w:rPr>
          <w:rFonts w:ascii="Palatino Linotype" w:hAnsi="Palatino Linotype"/>
          <w:b/>
          <w:sz w:val="24"/>
          <w:szCs w:val="20"/>
        </w:rPr>
        <w:t>Keyword</w:t>
      </w:r>
      <w:r>
        <w:rPr>
          <w:rFonts w:ascii="Palatino Linotype" w:hAnsi="Palatino Linotype"/>
          <w:b/>
          <w:sz w:val="24"/>
          <w:szCs w:val="20"/>
          <w:lang w:val="en-US"/>
        </w:rPr>
        <w:t>s</w:t>
      </w:r>
      <w:r>
        <w:rPr>
          <w:rFonts w:ascii="Palatino Linotype" w:hAnsi="Palatino Linotype"/>
          <w:sz w:val="20"/>
          <w:szCs w:val="20"/>
        </w:rPr>
        <w:t>:</w:t>
      </w:r>
      <w:r>
        <w:rPr>
          <w:rFonts w:ascii="Palatino Linotype" w:hAnsi="Palatino Linotype"/>
          <w:sz w:val="20"/>
          <w:szCs w:val="20"/>
          <w:lang w:val="en-US"/>
        </w:rPr>
        <w:t xml:space="preserve"> </w:t>
      </w:r>
      <w:r w:rsidR="009C17FA" w:rsidRPr="009C17FA">
        <w:rPr>
          <w:rFonts w:ascii="Palatino Linotype" w:hAnsi="Palatino Linotype"/>
          <w:sz w:val="20"/>
          <w:szCs w:val="20"/>
        </w:rPr>
        <w:t>Firm Size, Growth, Capital Structure, Insider Ownership, Financial Pe</w:t>
      </w:r>
      <w:r w:rsidR="009C17FA">
        <w:rPr>
          <w:rFonts w:ascii="Palatino Linotype" w:hAnsi="Palatino Linotype"/>
          <w:sz w:val="20"/>
          <w:szCs w:val="20"/>
        </w:rPr>
        <w:t>rformance</w:t>
      </w:r>
    </w:p>
    <w:p w:rsidR="00077E67" w:rsidRDefault="00077E67">
      <w:pPr>
        <w:pStyle w:val="ListParagraph1"/>
        <w:spacing w:after="0" w:line="240" w:lineRule="auto"/>
        <w:ind w:left="1134" w:right="1088"/>
        <w:jc w:val="both"/>
        <w:rPr>
          <w:rFonts w:ascii="Palatino Linotype" w:hAnsi="Palatino Linotype"/>
          <w:b/>
          <w:sz w:val="20"/>
          <w:szCs w:val="20"/>
        </w:rPr>
      </w:pPr>
    </w:p>
    <w:p w:rsidR="00077E67" w:rsidRPr="00DC408B" w:rsidRDefault="0083239A" w:rsidP="00DC408B">
      <w:pPr>
        <w:pStyle w:val="NoSpacing"/>
        <w:ind w:left="1170"/>
        <w:jc w:val="both"/>
        <w:rPr>
          <w:rFonts w:ascii="Palatino Linotype" w:hAnsi="Palatino Linotype"/>
          <w:b/>
          <w:sz w:val="24"/>
          <w:szCs w:val="24"/>
        </w:rPr>
      </w:pPr>
      <w:r>
        <w:rPr>
          <w:rFonts w:ascii="Palatino Linotype" w:hAnsi="Palatino Linotype"/>
          <w:b/>
          <w:sz w:val="20"/>
          <w:szCs w:val="20"/>
        </w:rPr>
        <w:t xml:space="preserve">How to Cite: </w:t>
      </w:r>
      <w:r w:rsidR="009C17FA">
        <w:rPr>
          <w:rFonts w:ascii="Palatino Linotype" w:hAnsi="Palatino Linotype"/>
          <w:sz w:val="20"/>
          <w:szCs w:val="20"/>
        </w:rPr>
        <w:t xml:space="preserve">Mia Angelina </w:t>
      </w:r>
      <w:proofErr w:type="spellStart"/>
      <w:r w:rsidR="009C17FA">
        <w:rPr>
          <w:rFonts w:ascii="Palatino Linotype" w:hAnsi="Palatino Linotype"/>
          <w:sz w:val="20"/>
          <w:szCs w:val="20"/>
        </w:rPr>
        <w:t>Setiawan</w:t>
      </w:r>
      <w:proofErr w:type="spellEnd"/>
      <w:r w:rsidR="009C17FA">
        <w:rPr>
          <w:rFonts w:ascii="Palatino Linotype" w:hAnsi="Palatino Linotype"/>
          <w:sz w:val="20"/>
          <w:szCs w:val="20"/>
        </w:rPr>
        <w:t xml:space="preserve">. </w:t>
      </w:r>
      <w:proofErr w:type="gramStart"/>
      <w:r w:rsidR="009C17FA">
        <w:rPr>
          <w:rFonts w:ascii="Palatino Linotype" w:hAnsi="Palatino Linotype"/>
          <w:sz w:val="20"/>
          <w:szCs w:val="20"/>
        </w:rPr>
        <w:t>(2018</w:t>
      </w:r>
      <w:r w:rsidRPr="00DC408B">
        <w:rPr>
          <w:rFonts w:ascii="Palatino Linotype" w:hAnsi="Palatino Linotype"/>
          <w:sz w:val="20"/>
          <w:szCs w:val="20"/>
        </w:rPr>
        <w:t xml:space="preserve">). </w:t>
      </w:r>
      <w:r w:rsidR="00DC408B" w:rsidRPr="00DC408B">
        <w:rPr>
          <w:rFonts w:ascii="Palatino Linotype" w:hAnsi="Palatino Linotype"/>
          <w:sz w:val="20"/>
          <w:szCs w:val="20"/>
        </w:rPr>
        <w:t>A study of Firm Size, Growth, Capital Structure, and Insider Ownership toward Financial Performance</w:t>
      </w:r>
      <w:r w:rsidR="00DC408B">
        <w:rPr>
          <w:rFonts w:ascii="Palatino Linotype" w:hAnsi="Palatino Linotype"/>
          <w:sz w:val="20"/>
          <w:szCs w:val="20"/>
        </w:rPr>
        <w:t>.</w:t>
      </w:r>
      <w:proofErr w:type="gramEnd"/>
      <w:r>
        <w:rPr>
          <w:rFonts w:ascii="Palatino Linotype" w:hAnsi="Palatino Linotype"/>
          <w:sz w:val="20"/>
          <w:szCs w:val="20"/>
        </w:rPr>
        <w:t xml:space="preserve"> </w:t>
      </w:r>
      <w:proofErr w:type="gramStart"/>
      <w:r>
        <w:rPr>
          <w:rFonts w:ascii="Calisto MT" w:hAnsi="Calisto MT"/>
          <w:sz w:val="18"/>
          <w:szCs w:val="21"/>
        </w:rPr>
        <w:t>The 1</w:t>
      </w:r>
      <w:r>
        <w:rPr>
          <w:rFonts w:ascii="Calisto MT" w:hAnsi="Calisto MT"/>
          <w:sz w:val="18"/>
          <w:szCs w:val="21"/>
          <w:vertAlign w:val="superscript"/>
        </w:rPr>
        <w:t>st</w:t>
      </w:r>
      <w:r>
        <w:rPr>
          <w:rFonts w:ascii="Calisto MT" w:hAnsi="Calisto MT"/>
          <w:sz w:val="18"/>
          <w:szCs w:val="21"/>
        </w:rPr>
        <w:t xml:space="preserve"> Padang International Conferences on Education, Economics, Business, and Accounting</w:t>
      </w:r>
      <w:r>
        <w:rPr>
          <w:rFonts w:ascii="Palatino Linotype" w:hAnsi="Palatino Linotype"/>
          <w:i/>
          <w:sz w:val="20"/>
          <w:szCs w:val="20"/>
        </w:rPr>
        <w:t xml:space="preserve"> </w:t>
      </w:r>
      <w:r>
        <w:rPr>
          <w:rFonts w:ascii="Palatino Linotype" w:hAnsi="Palatino Linotype"/>
          <w:sz w:val="20"/>
          <w:szCs w:val="20"/>
        </w:rPr>
        <w:t>(pp. XX–XX).</w:t>
      </w:r>
      <w:proofErr w:type="gramEnd"/>
      <w:r>
        <w:rPr>
          <w:rFonts w:ascii="Palatino Linotype" w:hAnsi="Palatino Linotype"/>
          <w:sz w:val="20"/>
          <w:szCs w:val="20"/>
        </w:rPr>
        <w:t xml:space="preserve"> Padang: Economics Faculty, </w:t>
      </w:r>
      <w:proofErr w:type="spellStart"/>
      <w:r>
        <w:rPr>
          <w:rFonts w:ascii="Palatino Linotype" w:hAnsi="Palatino Linotype"/>
          <w:sz w:val="20"/>
          <w:szCs w:val="20"/>
        </w:rPr>
        <w:t>Universitas</w:t>
      </w:r>
      <w:proofErr w:type="spellEnd"/>
      <w:r>
        <w:rPr>
          <w:rFonts w:ascii="Palatino Linotype" w:hAnsi="Palatino Linotype"/>
          <w:sz w:val="20"/>
          <w:szCs w:val="20"/>
        </w:rPr>
        <w:t xml:space="preserve"> </w:t>
      </w:r>
      <w:proofErr w:type="spellStart"/>
      <w:r>
        <w:rPr>
          <w:rFonts w:ascii="Palatino Linotype" w:hAnsi="Palatino Linotype"/>
          <w:sz w:val="20"/>
          <w:szCs w:val="20"/>
        </w:rPr>
        <w:t>Negeri</w:t>
      </w:r>
      <w:proofErr w:type="spellEnd"/>
      <w:r>
        <w:rPr>
          <w:rFonts w:ascii="Palatino Linotype" w:hAnsi="Palatino Linotype"/>
          <w:sz w:val="20"/>
          <w:szCs w:val="20"/>
        </w:rPr>
        <w:t xml:space="preserve"> Padang Publishing. </w:t>
      </w:r>
      <w:r>
        <w:rPr>
          <w:rFonts w:ascii="Calisto MT" w:hAnsi="Calisto MT"/>
          <w:sz w:val="20"/>
        </w:rPr>
        <w:t xml:space="preserve">DOI: </w:t>
      </w:r>
      <w:hyperlink r:id="rId11" w:history="1">
        <w:r>
          <w:rPr>
            <w:rStyle w:val="Hyperlink"/>
            <w:rFonts w:ascii="Calisto MT" w:hAnsi="Calisto MT"/>
            <w:sz w:val="20"/>
          </w:rPr>
          <w:t>https://doi.org/XX.XXXXX/XXXXX</w:t>
        </w:r>
      </w:hyperlink>
    </w:p>
    <w:p w:rsidR="00077E67" w:rsidRDefault="00077E67">
      <w:pPr>
        <w:pStyle w:val="ListParagraph1"/>
        <w:spacing w:after="0" w:line="240" w:lineRule="auto"/>
        <w:ind w:left="1134" w:right="-46"/>
        <w:jc w:val="both"/>
        <w:rPr>
          <w:rFonts w:ascii="Palatino Linotype" w:hAnsi="Palatino Linotype"/>
          <w:sz w:val="20"/>
          <w:szCs w:val="20"/>
        </w:rPr>
      </w:pPr>
    </w:p>
    <w:p w:rsidR="00077E67" w:rsidRDefault="00077E67">
      <w:pPr>
        <w:spacing w:after="0" w:line="240" w:lineRule="auto"/>
        <w:ind w:right="522"/>
        <w:jc w:val="both"/>
        <w:rPr>
          <w:rFonts w:ascii="Calisto MT" w:hAnsi="Calisto MT"/>
          <w:sz w:val="20"/>
          <w:szCs w:val="20"/>
        </w:rPr>
      </w:pPr>
    </w:p>
    <w:p w:rsidR="00077E67" w:rsidRDefault="00077E67">
      <w:pPr>
        <w:spacing w:after="0" w:line="240" w:lineRule="auto"/>
        <w:jc w:val="both"/>
        <w:rPr>
          <w:rFonts w:ascii="Palatino Linotype" w:hAnsi="Palatino Linotype" w:cstheme="minorHAnsi"/>
          <w:b/>
          <w:sz w:val="28"/>
          <w:szCs w:val="24"/>
          <w:lang w:val="en-US"/>
        </w:rPr>
        <w:sectPr w:rsidR="00077E67">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568" w:footer="567" w:gutter="0"/>
          <w:cols w:space="708"/>
          <w:titlePg/>
          <w:docGrid w:linePitch="360"/>
        </w:sectPr>
      </w:pPr>
    </w:p>
    <w:p w:rsidR="00077E67" w:rsidRDefault="00077E67">
      <w:pPr>
        <w:spacing w:after="120" w:line="240" w:lineRule="auto"/>
        <w:jc w:val="both"/>
        <w:rPr>
          <w:rFonts w:ascii="Palatino Linotype" w:hAnsi="Palatino Linotype" w:cstheme="minorHAnsi"/>
          <w:b/>
          <w:sz w:val="24"/>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Introduction</w:t>
      </w:r>
    </w:p>
    <w:p w:rsidR="00BF4C31" w:rsidRPr="00CA4401" w:rsidRDefault="00DC408B" w:rsidP="00BF4C31">
      <w:pPr>
        <w:spacing w:after="120" w:line="240" w:lineRule="auto"/>
        <w:ind w:firstLine="284"/>
        <w:jc w:val="both"/>
        <w:rPr>
          <w:rFonts w:ascii="Palatino Linotype" w:hAnsi="Palatino Linotype"/>
          <w:sz w:val="20"/>
          <w:szCs w:val="20"/>
          <w:lang w:val="en"/>
        </w:rPr>
      </w:pPr>
      <w:r w:rsidRPr="00BF4C31">
        <w:rPr>
          <w:rFonts w:ascii="Palatino Linotype" w:hAnsi="Palatino Linotype"/>
          <w:sz w:val="20"/>
          <w:szCs w:val="20"/>
          <w:lang w:val="en"/>
        </w:rPr>
        <w:t xml:space="preserve">The world financial crisis triggered by the Subprime Mortgage case in the United States in 2007, in a row led to a domino effect on the solvency and liquidity of financial institutions in the country, which led to the bankruptcy of hundreds of banks, securities firms, mutual funds, pensions and insurance. The crisis then spread to parts of Asia, especially countries such as Japan, Korea, China, Singapore, Hong Kong, Malaysia, Thailand, including Indonesia, which happened to have long-time </w:t>
      </w:r>
      <w:r w:rsidRPr="00CA4401">
        <w:rPr>
          <w:rFonts w:ascii="Palatino Linotype" w:hAnsi="Palatino Linotype"/>
          <w:sz w:val="20"/>
          <w:szCs w:val="20"/>
          <w:lang w:val="en"/>
        </w:rPr>
        <w:t xml:space="preserve">letters </w:t>
      </w:r>
      <w:proofErr w:type="spellStart"/>
      <w:r w:rsidRPr="00CA4401">
        <w:rPr>
          <w:rFonts w:ascii="Palatino Linotype" w:hAnsi="Palatino Linotype"/>
          <w:sz w:val="20"/>
          <w:szCs w:val="20"/>
          <w:lang w:val="en"/>
        </w:rPr>
        <w:t>beharga</w:t>
      </w:r>
      <w:proofErr w:type="spellEnd"/>
      <w:r w:rsidRPr="00CA4401">
        <w:rPr>
          <w:rFonts w:ascii="Palatino Linotype" w:hAnsi="Palatino Linotype"/>
          <w:sz w:val="20"/>
          <w:szCs w:val="20"/>
          <w:lang w:val="en"/>
        </w:rPr>
        <w:t xml:space="preserve"> these companies. This can be seen from the collapse of the Jakarta Composite Stock Price Index (IHSG) which is significant up to 11% up to suspended trading on the Indonesia Stock </w:t>
      </w:r>
      <w:r w:rsidRPr="00CA4401">
        <w:rPr>
          <w:rFonts w:ascii="Palatino Linotype" w:hAnsi="Palatino Linotype"/>
          <w:sz w:val="20"/>
          <w:szCs w:val="20"/>
          <w:lang w:val="en"/>
        </w:rPr>
        <w:lastRenderedPageBreak/>
        <w:t xml:space="preserve">Exchange on Wednesday 8th October 2008 for 3 days to prevent further downturn due to negative </w:t>
      </w:r>
      <w:proofErr w:type="spellStart"/>
      <w:r w:rsidRPr="00CA4401">
        <w:rPr>
          <w:rFonts w:ascii="Palatino Linotype" w:hAnsi="Palatino Linotype"/>
          <w:sz w:val="20"/>
          <w:szCs w:val="20"/>
          <w:lang w:val="en"/>
        </w:rPr>
        <w:t>senti</w:t>
      </w:r>
      <w:proofErr w:type="spellEnd"/>
      <w:r w:rsidR="00D94479" w:rsidRPr="00CA4401">
        <w:rPr>
          <w:rFonts w:ascii="Palatino Linotype" w:hAnsi="Palatino Linotype"/>
          <w:sz w:val="20"/>
          <w:szCs w:val="20"/>
          <w:lang w:val="en"/>
        </w:rPr>
        <w:t xml:space="preserve"> </w:t>
      </w:r>
      <w:r w:rsidR="00D94479" w:rsidRPr="00CA4401">
        <w:rPr>
          <w:rFonts w:ascii="Palatino Linotype" w:hAnsi="Palatino Linotype"/>
          <w:sz w:val="20"/>
          <w:szCs w:val="20"/>
          <w:lang w:val="en"/>
        </w:rPr>
        <w:t xml:space="preserve">The impact of the financial crisis is clearly visible in the rupiah exchange rate weakening against the US dollar even reached RP 10.000 / USD in the second week of October 2008. This is more due to the outflow of foreign capital due to excessive panic to the global financial crisis (http: // </w:t>
      </w:r>
      <w:proofErr w:type="spellStart"/>
      <w:r w:rsidR="00D94479" w:rsidRPr="00CA4401">
        <w:rPr>
          <w:rFonts w:ascii="Palatino Linotype" w:hAnsi="Palatino Linotype"/>
          <w:sz w:val="20"/>
          <w:szCs w:val="20"/>
          <w:lang w:val="en"/>
        </w:rPr>
        <w:t>rutacs</w:t>
      </w:r>
      <w:proofErr w:type="spellEnd"/>
      <w:r w:rsidR="00D94479" w:rsidRPr="00CA4401">
        <w:rPr>
          <w:rFonts w:ascii="Palatino Linotype" w:hAnsi="Palatino Linotype"/>
          <w:sz w:val="20"/>
          <w:szCs w:val="20"/>
          <w:lang w:val="en"/>
        </w:rPr>
        <w:t xml:space="preserve"> .wordpress.com). Similar impacts also occur on inflation. Due to the weakening of the Rupiah against USD, the price of goods is also affected to rise, as Indonesia still imports many needs incl</w:t>
      </w:r>
      <w:r w:rsidR="00BF4C31" w:rsidRPr="00CA4401">
        <w:rPr>
          <w:rFonts w:ascii="Palatino Linotype" w:hAnsi="Palatino Linotype"/>
          <w:sz w:val="20"/>
          <w:szCs w:val="20"/>
          <w:lang w:val="en"/>
        </w:rPr>
        <w:t>uding wheat flour and soybeans.</w:t>
      </w:r>
    </w:p>
    <w:p w:rsidR="00BF4C31" w:rsidRPr="00CA4401" w:rsidRDefault="00D94479" w:rsidP="00A6637F">
      <w:pPr>
        <w:spacing w:after="120" w:line="240" w:lineRule="auto"/>
        <w:jc w:val="both"/>
        <w:rPr>
          <w:rFonts w:ascii="Palatino Linotype" w:hAnsi="Palatino Linotype"/>
          <w:sz w:val="20"/>
          <w:szCs w:val="20"/>
          <w:lang w:val="en"/>
        </w:rPr>
      </w:pPr>
      <w:r w:rsidRPr="00CA4401">
        <w:rPr>
          <w:rFonts w:ascii="Palatino Linotype" w:hAnsi="Palatino Linotype"/>
          <w:sz w:val="20"/>
          <w:szCs w:val="20"/>
          <w:lang w:val="en"/>
        </w:rPr>
        <w:br/>
      </w:r>
      <w:r w:rsidR="00A6637F">
        <w:rPr>
          <w:rFonts w:ascii="Palatino Linotype" w:hAnsi="Palatino Linotype"/>
          <w:sz w:val="20"/>
          <w:szCs w:val="20"/>
          <w:lang w:val="en"/>
        </w:rPr>
        <w:t xml:space="preserve">         </w:t>
      </w:r>
      <w:r w:rsidRPr="00CA4401">
        <w:rPr>
          <w:rFonts w:ascii="Palatino Linotype" w:hAnsi="Palatino Linotype"/>
          <w:sz w:val="20"/>
          <w:szCs w:val="20"/>
          <w:lang w:val="en"/>
        </w:rPr>
        <w:t xml:space="preserve">This global financial crisis will surely greatly affect Indonesia's exports to export destination countries. During the last 5 years, Indonesia's exports to America are ranked 2nd after Japan with a range of 12% - 15% each (http://rutacs.wordpress.com). In addition, importing countries of Indonesian products on the order of 3 </w:t>
      </w:r>
      <w:proofErr w:type="spellStart"/>
      <w:r w:rsidRPr="00CA4401">
        <w:rPr>
          <w:rFonts w:ascii="Palatino Linotype" w:hAnsi="Palatino Linotype"/>
          <w:sz w:val="20"/>
          <w:szCs w:val="20"/>
          <w:lang w:val="en"/>
        </w:rPr>
        <w:t>s.d.</w:t>
      </w:r>
      <w:proofErr w:type="spellEnd"/>
      <w:r w:rsidRPr="00CA4401">
        <w:rPr>
          <w:rFonts w:ascii="Palatino Linotype" w:hAnsi="Palatino Linotype"/>
          <w:sz w:val="20"/>
          <w:szCs w:val="20"/>
          <w:lang w:val="en"/>
        </w:rPr>
        <w:t xml:space="preserve"> 10 (Singapore, PRC, India, Malaysia, South Korea, Netherlands, Thailand, Taiwan) accounted for about 45% of Indonesia's total exports. From this information, it is almost certain that all of the countries listed above are experiencing the impact of the global financial crisis resulting in an economic slowdown in every country. Further this will lead to a decrease in the ability to buy or even pay for export products produced by Indonesia, which in turn will hit export-or</w:t>
      </w:r>
      <w:r w:rsidR="00BF4C31" w:rsidRPr="00CA4401">
        <w:rPr>
          <w:rFonts w:ascii="Palatino Linotype" w:hAnsi="Palatino Linotype"/>
          <w:sz w:val="20"/>
          <w:szCs w:val="20"/>
          <w:lang w:val="en"/>
        </w:rPr>
        <w:t>iented industries in Indonesia.</w:t>
      </w:r>
    </w:p>
    <w:p w:rsidR="00BF4C31" w:rsidRPr="00CA4401" w:rsidRDefault="00D94479" w:rsidP="00A6637F">
      <w:pPr>
        <w:spacing w:after="120" w:line="240" w:lineRule="auto"/>
        <w:ind w:firstLine="450"/>
        <w:jc w:val="both"/>
        <w:rPr>
          <w:rFonts w:ascii="Palatino Linotype" w:hAnsi="Palatino Linotype"/>
          <w:sz w:val="20"/>
          <w:szCs w:val="20"/>
          <w:lang w:val="en"/>
        </w:rPr>
      </w:pPr>
      <w:r w:rsidRPr="00CA4401">
        <w:rPr>
          <w:rFonts w:ascii="Palatino Linotype" w:hAnsi="Palatino Linotype"/>
          <w:sz w:val="20"/>
          <w:szCs w:val="20"/>
          <w:lang w:val="en"/>
        </w:rPr>
        <w:br/>
      </w:r>
      <w:r w:rsidR="00A6637F">
        <w:rPr>
          <w:rFonts w:ascii="Palatino Linotype" w:hAnsi="Palatino Linotype"/>
          <w:sz w:val="20"/>
          <w:szCs w:val="20"/>
          <w:lang w:val="en"/>
        </w:rPr>
        <w:t xml:space="preserve">        </w:t>
      </w:r>
      <w:r w:rsidRPr="00CA4401">
        <w:rPr>
          <w:rFonts w:ascii="Palatino Linotype" w:hAnsi="Palatino Linotype"/>
          <w:sz w:val="20"/>
          <w:szCs w:val="20"/>
          <w:lang w:val="en"/>
        </w:rPr>
        <w:t xml:space="preserve">The impact of the world financial crisis is also felt by the industrial </w:t>
      </w:r>
      <w:proofErr w:type="gramStart"/>
      <w:r w:rsidRPr="00CA4401">
        <w:rPr>
          <w:rFonts w:ascii="Palatino Linotype" w:hAnsi="Palatino Linotype"/>
          <w:sz w:val="20"/>
          <w:szCs w:val="20"/>
          <w:lang w:val="en"/>
        </w:rPr>
        <w:t>sector, which mostly still rely</w:t>
      </w:r>
      <w:proofErr w:type="gramEnd"/>
      <w:r w:rsidRPr="00CA4401">
        <w:rPr>
          <w:rFonts w:ascii="Palatino Linotype" w:hAnsi="Palatino Linotype"/>
          <w:sz w:val="20"/>
          <w:szCs w:val="20"/>
          <w:lang w:val="en"/>
        </w:rPr>
        <w:t xml:space="preserve"> on raw materials from imported products where the price is increasing in the world market. Data from the Central Bureau of Statistics (BPS) (http://www.bps.go.id) shows that the growth of the large and medium manufacturing industry sector in the fourth quarter of 2008 was minus 3.26% compared to the III quarter of the same year. While in general up to 2010 despite an increase, but growth is still below the economic growth of Indonesia, while the growth of the new manu</w:t>
      </w:r>
      <w:r w:rsidR="00BF4C31" w:rsidRPr="00CA4401">
        <w:rPr>
          <w:rFonts w:ascii="Palatino Linotype" w:hAnsi="Palatino Linotype"/>
          <w:sz w:val="20"/>
          <w:szCs w:val="20"/>
          <w:lang w:val="en"/>
        </w:rPr>
        <w:t>facturing sector reached 5.41%.</w:t>
      </w:r>
    </w:p>
    <w:p w:rsidR="00BF4C31" w:rsidRPr="00CA4401" w:rsidRDefault="00D94479" w:rsidP="00BF4C31">
      <w:pPr>
        <w:spacing w:after="120" w:line="240" w:lineRule="auto"/>
        <w:ind w:firstLine="284"/>
        <w:jc w:val="both"/>
        <w:rPr>
          <w:rFonts w:ascii="Palatino Linotype" w:hAnsi="Palatino Linotype"/>
          <w:sz w:val="20"/>
          <w:szCs w:val="20"/>
          <w:lang w:val="en"/>
        </w:rPr>
      </w:pPr>
      <w:r w:rsidRPr="00CA4401">
        <w:rPr>
          <w:rFonts w:ascii="Palatino Linotype" w:hAnsi="Palatino Linotype"/>
          <w:sz w:val="20"/>
          <w:szCs w:val="20"/>
          <w:lang w:val="en"/>
        </w:rPr>
        <w:br/>
      </w:r>
      <w:r w:rsidR="00A6637F">
        <w:rPr>
          <w:rFonts w:ascii="Palatino Linotype" w:hAnsi="Palatino Linotype"/>
          <w:sz w:val="20"/>
          <w:szCs w:val="20"/>
          <w:lang w:val="en"/>
        </w:rPr>
        <w:t xml:space="preserve">         </w:t>
      </w:r>
      <w:r w:rsidRPr="00CA4401">
        <w:rPr>
          <w:rFonts w:ascii="Palatino Linotype" w:hAnsi="Palatino Linotype"/>
          <w:sz w:val="20"/>
          <w:szCs w:val="20"/>
          <w:lang w:val="en"/>
        </w:rPr>
        <w:t xml:space="preserve">The influence of the financial crisis became the foundation for the company to maintain its performance based on the main purpose of the company was established, namely improving the welfare of shareholders. Welfare can be improved through good corporate performance. Good corporate performance is also meaningful for consumers, communities, employees, and </w:t>
      </w:r>
      <w:proofErr w:type="gramStart"/>
      <w:r w:rsidRPr="00CA4401">
        <w:rPr>
          <w:rFonts w:ascii="Palatino Linotype" w:hAnsi="Palatino Linotype"/>
          <w:sz w:val="20"/>
          <w:szCs w:val="20"/>
          <w:lang w:val="en"/>
        </w:rPr>
        <w:t>suppliers, including the supplier is</w:t>
      </w:r>
      <w:proofErr w:type="gramEnd"/>
      <w:r w:rsidRPr="00CA4401">
        <w:rPr>
          <w:rFonts w:ascii="Palatino Linotype" w:hAnsi="Palatino Linotype"/>
          <w:sz w:val="20"/>
          <w:szCs w:val="20"/>
          <w:lang w:val="en"/>
        </w:rPr>
        <w:t xml:space="preserve"> the creditor, the supplier of funds. The secondary purpose of the company's establishment is for the welfare of consumers, communities, employees and creditors. The secondary goal is the driving force for the achievement of the primary objectives of good corporate performance (Atkinson, B</w:t>
      </w:r>
      <w:r w:rsidR="00BF4C31" w:rsidRPr="00CA4401">
        <w:rPr>
          <w:rFonts w:ascii="Palatino Linotype" w:hAnsi="Palatino Linotype"/>
          <w:sz w:val="20"/>
          <w:szCs w:val="20"/>
          <w:lang w:val="en"/>
        </w:rPr>
        <w:t>anker, Kaplan, and Young, 1997)</w:t>
      </w:r>
    </w:p>
    <w:p w:rsidR="00BF4C31" w:rsidRPr="00CA4401" w:rsidRDefault="00D94479" w:rsidP="00BF4C31">
      <w:pPr>
        <w:spacing w:after="120" w:line="240" w:lineRule="auto"/>
        <w:ind w:firstLine="284"/>
        <w:jc w:val="both"/>
        <w:rPr>
          <w:rFonts w:ascii="Palatino Linotype" w:hAnsi="Palatino Linotype"/>
          <w:sz w:val="20"/>
          <w:szCs w:val="20"/>
          <w:lang w:val="en"/>
        </w:rPr>
      </w:pPr>
      <w:r w:rsidRPr="00CA4401">
        <w:rPr>
          <w:rFonts w:ascii="Palatino Linotype" w:hAnsi="Palatino Linotype"/>
          <w:sz w:val="20"/>
          <w:szCs w:val="20"/>
          <w:lang w:val="en"/>
        </w:rPr>
        <w:br/>
      </w:r>
      <w:r w:rsidR="00A6637F">
        <w:rPr>
          <w:rFonts w:ascii="Palatino Linotype" w:hAnsi="Palatino Linotype"/>
          <w:sz w:val="20"/>
          <w:szCs w:val="20"/>
          <w:lang w:val="en"/>
        </w:rPr>
        <w:t xml:space="preserve">         </w:t>
      </w:r>
      <w:r w:rsidRPr="00CA4401">
        <w:rPr>
          <w:rFonts w:ascii="Palatino Linotype" w:hAnsi="Palatino Linotype"/>
          <w:sz w:val="20"/>
          <w:szCs w:val="20"/>
          <w:lang w:val="en"/>
        </w:rPr>
        <w:t xml:space="preserve">Company performance shows the company's ability to benefit from assets, equity, and debt. Company performance is a company's performance. </w:t>
      </w:r>
      <w:proofErr w:type="gramStart"/>
      <w:r w:rsidRPr="00CA4401">
        <w:rPr>
          <w:rFonts w:ascii="Palatino Linotype" w:hAnsi="Palatino Linotype"/>
          <w:sz w:val="20"/>
          <w:szCs w:val="20"/>
          <w:lang w:val="en"/>
        </w:rPr>
        <w:t>The amount of assets to be one benchmark company in maintaining its performance.</w:t>
      </w:r>
      <w:proofErr w:type="gramEnd"/>
      <w:r w:rsidRPr="00CA4401">
        <w:rPr>
          <w:rFonts w:ascii="Palatino Linotype" w:hAnsi="Palatino Linotype"/>
          <w:sz w:val="20"/>
          <w:szCs w:val="20"/>
          <w:lang w:val="en"/>
        </w:rPr>
        <w:t xml:space="preserve"> Assets owned also become the basis of the size of a small company. The size of the company can describe the financial performance of the company. In addition to company size, company performance measures can be seen from the company's financial performance as measured by the profitability of</w:t>
      </w:r>
      <w:r w:rsidR="00BF4C31" w:rsidRPr="00CA4401">
        <w:rPr>
          <w:rFonts w:ascii="Palatino Linotype" w:hAnsi="Palatino Linotype"/>
          <w:sz w:val="20"/>
          <w:szCs w:val="20"/>
          <w:lang w:val="en"/>
        </w:rPr>
        <w:t xml:space="preserve"> the company.</w:t>
      </w:r>
    </w:p>
    <w:p w:rsidR="00BF4C31" w:rsidRPr="00CA4401" w:rsidRDefault="00D94479">
      <w:pPr>
        <w:spacing w:after="120" w:line="240" w:lineRule="auto"/>
        <w:ind w:firstLine="284"/>
        <w:jc w:val="both"/>
        <w:rPr>
          <w:rFonts w:ascii="Palatino Linotype" w:hAnsi="Palatino Linotype"/>
          <w:sz w:val="20"/>
          <w:szCs w:val="20"/>
          <w:lang w:val="en"/>
        </w:rPr>
      </w:pPr>
      <w:r w:rsidRPr="00CA4401">
        <w:rPr>
          <w:rFonts w:ascii="Palatino Linotype" w:hAnsi="Palatino Linotype"/>
          <w:sz w:val="20"/>
          <w:szCs w:val="20"/>
          <w:lang w:val="en"/>
        </w:rPr>
        <w:br/>
      </w:r>
      <w:r w:rsidR="00A6637F">
        <w:rPr>
          <w:rFonts w:ascii="Palatino Linotype" w:hAnsi="Palatino Linotype"/>
          <w:sz w:val="20"/>
          <w:szCs w:val="20"/>
          <w:lang w:val="en"/>
        </w:rPr>
        <w:t xml:space="preserve">        </w:t>
      </w:r>
      <w:r w:rsidRPr="00CA4401">
        <w:rPr>
          <w:rFonts w:ascii="Palatino Linotype" w:hAnsi="Palatino Linotype"/>
          <w:sz w:val="20"/>
          <w:szCs w:val="20"/>
          <w:lang w:val="en"/>
        </w:rPr>
        <w:t xml:space="preserve">The company's performance measured by one of profitability is ROE examined by </w:t>
      </w:r>
      <w:proofErr w:type="spellStart"/>
      <w:r w:rsidRPr="00CA4401">
        <w:rPr>
          <w:rFonts w:ascii="Palatino Linotype" w:hAnsi="Palatino Linotype"/>
          <w:sz w:val="20"/>
          <w:szCs w:val="20"/>
          <w:lang w:val="en"/>
        </w:rPr>
        <w:t>Khaira</w:t>
      </w:r>
      <w:proofErr w:type="spellEnd"/>
      <w:r w:rsidRPr="00CA4401">
        <w:rPr>
          <w:rFonts w:ascii="Palatino Linotype" w:hAnsi="Palatino Linotype"/>
          <w:sz w:val="20"/>
          <w:szCs w:val="20"/>
          <w:lang w:val="en"/>
        </w:rPr>
        <w:t xml:space="preserve"> (2011) which examined the effect of capital structure, firm size, and agency cost on the performance of basic and chemical industry companies listed in Indonesian Stock Exchange in 2009. Partial test result states that there is a significant positive influence of capital structure on agency cost and significant negative effect of firm size on agency cost; while simultaneously there is no significant effect of capital structure, firm size, and agen</w:t>
      </w:r>
      <w:r w:rsidR="00BF4C31" w:rsidRPr="00CA4401">
        <w:rPr>
          <w:rFonts w:ascii="Palatino Linotype" w:hAnsi="Palatino Linotype"/>
          <w:sz w:val="20"/>
          <w:szCs w:val="20"/>
          <w:lang w:val="en"/>
        </w:rPr>
        <w:t>cy cost on company performance.</w:t>
      </w:r>
    </w:p>
    <w:p w:rsidR="00DC408B" w:rsidRPr="00CA4401" w:rsidRDefault="00D94479">
      <w:pPr>
        <w:spacing w:after="120" w:line="240" w:lineRule="auto"/>
        <w:ind w:firstLine="284"/>
        <w:jc w:val="both"/>
        <w:rPr>
          <w:rFonts w:ascii="Palatino Linotype" w:hAnsi="Palatino Linotype"/>
          <w:sz w:val="20"/>
          <w:szCs w:val="20"/>
          <w:lang w:val="en"/>
        </w:rPr>
      </w:pPr>
      <w:r w:rsidRPr="00CA4401">
        <w:rPr>
          <w:rFonts w:ascii="Palatino Linotype" w:hAnsi="Palatino Linotype"/>
          <w:sz w:val="20"/>
          <w:szCs w:val="20"/>
          <w:lang w:val="en"/>
        </w:rPr>
        <w:lastRenderedPageBreak/>
        <w:br/>
      </w:r>
      <w:r w:rsidR="00A6637F">
        <w:rPr>
          <w:rFonts w:ascii="Palatino Linotype" w:hAnsi="Palatino Linotype"/>
          <w:sz w:val="20"/>
          <w:szCs w:val="20"/>
          <w:lang w:val="en"/>
        </w:rPr>
        <w:t xml:space="preserve">       </w:t>
      </w:r>
      <w:r w:rsidRPr="00CA4401">
        <w:rPr>
          <w:rFonts w:ascii="Palatino Linotype" w:hAnsi="Palatino Linotype"/>
          <w:sz w:val="20"/>
          <w:szCs w:val="20"/>
          <w:lang w:val="en"/>
        </w:rPr>
        <w:t>Determining the company's capital structure is a difficult decision, involving several factors, such as risk and profitability. The decision becomes more difficult, in times when the economic environment where the company operates is experiencing high levels of instability. Therefore, the choice between ideal proportions of debt and equity can affect firm value and earnings</w:t>
      </w:r>
      <w:r w:rsidR="00BF4C31" w:rsidRPr="00CA4401">
        <w:rPr>
          <w:rFonts w:ascii="Palatino Linotype" w:hAnsi="Palatino Linotype"/>
          <w:sz w:val="20"/>
          <w:szCs w:val="20"/>
          <w:lang w:val="en"/>
        </w:rPr>
        <w:t xml:space="preserve"> manage</w:t>
      </w:r>
      <w:r w:rsidR="00DC408B" w:rsidRPr="00CA4401">
        <w:rPr>
          <w:rFonts w:ascii="Palatino Linotype" w:hAnsi="Palatino Linotype"/>
          <w:sz w:val="20"/>
          <w:szCs w:val="20"/>
          <w:lang w:val="en"/>
        </w:rPr>
        <w:t>ment.</w:t>
      </w:r>
      <w:r w:rsidR="001C5698" w:rsidRPr="00CA4401">
        <w:rPr>
          <w:rFonts w:ascii="Palatino Linotype" w:hAnsi="Palatino Linotype"/>
          <w:sz w:val="20"/>
          <w:szCs w:val="20"/>
          <w:lang w:val="en"/>
        </w:rPr>
        <w:t xml:space="preserve"> </w:t>
      </w:r>
      <w:r w:rsidR="001C5698" w:rsidRPr="00FA261E">
        <w:rPr>
          <w:rFonts w:ascii="Palatino Linotype" w:hAnsi="Palatino Linotype"/>
          <w:i/>
          <w:sz w:val="20"/>
          <w:szCs w:val="20"/>
        </w:rPr>
        <w:t>(</w:t>
      </w:r>
      <w:r w:rsidR="001C5698" w:rsidRPr="00FA261E">
        <w:rPr>
          <w:rFonts w:ascii="Palatino Linotype" w:hAnsi="Palatino Linotype"/>
          <w:i/>
          <w:sz w:val="20"/>
          <w:szCs w:val="20"/>
        </w:rPr>
        <w:fldChar w:fldCharType="begin"/>
      </w:r>
      <w:r w:rsidR="001C5698" w:rsidRPr="00FA261E">
        <w:rPr>
          <w:rFonts w:ascii="Palatino Linotype" w:hAnsi="Palatino Linotype"/>
          <w:i/>
          <w:sz w:val="20"/>
          <w:szCs w:val="20"/>
        </w:rPr>
        <w:instrText xml:space="preserve"> HYPERLINK "http://www.indonesiarecovery.com" </w:instrText>
      </w:r>
      <w:r w:rsidR="001C5698" w:rsidRPr="00FA261E">
        <w:rPr>
          <w:rFonts w:ascii="Palatino Linotype" w:hAnsi="Palatino Linotype"/>
          <w:i/>
          <w:sz w:val="20"/>
          <w:szCs w:val="20"/>
        </w:rPr>
        <w:fldChar w:fldCharType="separate"/>
      </w:r>
      <w:r w:rsidR="001C5698" w:rsidRPr="00FA261E">
        <w:rPr>
          <w:rStyle w:val="Hyperlink"/>
          <w:rFonts w:ascii="Palatino Linotype" w:hAnsi="Palatino Linotype"/>
          <w:i/>
          <w:sz w:val="20"/>
          <w:szCs w:val="20"/>
          <w:u w:val="none"/>
        </w:rPr>
        <w:t>www.indonesiarecovery.com</w:t>
      </w:r>
      <w:r w:rsidR="001C5698" w:rsidRPr="00FA261E">
        <w:rPr>
          <w:rFonts w:ascii="Palatino Linotype" w:hAnsi="Palatino Linotype"/>
          <w:i/>
          <w:sz w:val="20"/>
          <w:szCs w:val="20"/>
        </w:rPr>
        <w:fldChar w:fldCharType="end"/>
      </w:r>
      <w:r w:rsidR="001C5698" w:rsidRPr="00FA261E">
        <w:rPr>
          <w:rFonts w:ascii="Palatino Linotype" w:hAnsi="Palatino Linotype"/>
          <w:i/>
          <w:sz w:val="20"/>
          <w:szCs w:val="20"/>
        </w:rPr>
        <w:t>)</w:t>
      </w:r>
    </w:p>
    <w:p w:rsidR="00BF4C31" w:rsidRPr="00CA4401" w:rsidRDefault="00A6637F" w:rsidP="00BF4C31">
      <w:pPr>
        <w:spacing w:after="120" w:line="240" w:lineRule="auto"/>
        <w:jc w:val="both"/>
        <w:rPr>
          <w:rFonts w:ascii="Palatino Linotype" w:hAnsi="Palatino Linotype"/>
          <w:sz w:val="20"/>
          <w:szCs w:val="20"/>
          <w:lang w:val="en"/>
        </w:rPr>
      </w:pPr>
      <w:r>
        <w:rPr>
          <w:rFonts w:ascii="Palatino Linotype" w:hAnsi="Palatino Linotype"/>
          <w:sz w:val="20"/>
          <w:szCs w:val="20"/>
          <w:lang w:val="en"/>
        </w:rPr>
        <w:t xml:space="preserve">        </w:t>
      </w:r>
      <w:r w:rsidR="00BF4C31" w:rsidRPr="00CA4401">
        <w:rPr>
          <w:rFonts w:ascii="Palatino Linotype" w:hAnsi="Palatino Linotype"/>
          <w:sz w:val="20"/>
          <w:szCs w:val="20"/>
          <w:lang w:val="en"/>
        </w:rPr>
        <w:t xml:space="preserve">Every company in decision-making for financing involves various policy issues. To understand how firms finance their operations, every company needs to examine the determinants of their funding or capital structure decisions. In private companies, they have implications for capital market development, interest rates and pricing security, and regulation. In private companies, the decisions affect the capital structure, corporate social responsibility and corporate development (Green, </w:t>
      </w:r>
      <w:proofErr w:type="spellStart"/>
      <w:r w:rsidR="00BF4C31" w:rsidRPr="00CA4401">
        <w:rPr>
          <w:rFonts w:ascii="Palatino Linotype" w:hAnsi="Palatino Linotype"/>
          <w:sz w:val="20"/>
          <w:szCs w:val="20"/>
          <w:lang w:val="en"/>
        </w:rPr>
        <w:t>Mu</w:t>
      </w:r>
      <w:r w:rsidR="00BF4C31" w:rsidRPr="00CA4401">
        <w:rPr>
          <w:rFonts w:ascii="Palatino Linotype" w:hAnsi="Palatino Linotype"/>
          <w:sz w:val="20"/>
          <w:szCs w:val="20"/>
          <w:lang w:val="en"/>
        </w:rPr>
        <w:t>rinde</w:t>
      </w:r>
      <w:proofErr w:type="spellEnd"/>
      <w:r w:rsidR="00BF4C31" w:rsidRPr="00CA4401">
        <w:rPr>
          <w:rFonts w:ascii="Palatino Linotype" w:hAnsi="Palatino Linotype"/>
          <w:sz w:val="20"/>
          <w:szCs w:val="20"/>
          <w:lang w:val="en"/>
        </w:rPr>
        <w:t xml:space="preserve"> and </w:t>
      </w:r>
      <w:proofErr w:type="spellStart"/>
      <w:r w:rsidR="00BF4C31" w:rsidRPr="00CA4401">
        <w:rPr>
          <w:rFonts w:ascii="Palatino Linotype" w:hAnsi="Palatino Linotype"/>
          <w:sz w:val="20"/>
          <w:szCs w:val="20"/>
          <w:lang w:val="en"/>
        </w:rPr>
        <w:t>Suppakitjarak</w:t>
      </w:r>
      <w:proofErr w:type="spellEnd"/>
      <w:r w:rsidR="00BF4C31" w:rsidRPr="00CA4401">
        <w:rPr>
          <w:rFonts w:ascii="Palatino Linotype" w:hAnsi="Palatino Linotype"/>
          <w:sz w:val="20"/>
          <w:szCs w:val="20"/>
          <w:lang w:val="en"/>
        </w:rPr>
        <w:t>, 2002).</w:t>
      </w:r>
    </w:p>
    <w:p w:rsidR="00BF4C31" w:rsidRPr="00CA4401" w:rsidRDefault="00BF4C31" w:rsidP="00BF4C31">
      <w:pPr>
        <w:spacing w:after="120" w:line="240" w:lineRule="auto"/>
        <w:jc w:val="both"/>
        <w:rPr>
          <w:rFonts w:ascii="Palatino Linotype" w:hAnsi="Palatino Linotype"/>
          <w:sz w:val="20"/>
          <w:szCs w:val="20"/>
          <w:lang w:val="en"/>
        </w:rPr>
      </w:pPr>
      <w:r w:rsidRPr="00CA4401">
        <w:rPr>
          <w:rFonts w:ascii="Palatino Linotype" w:hAnsi="Palatino Linotype"/>
          <w:sz w:val="20"/>
          <w:szCs w:val="20"/>
          <w:lang w:val="en"/>
        </w:rPr>
        <w:br/>
      </w:r>
      <w:r w:rsidR="00FA261E">
        <w:rPr>
          <w:rFonts w:ascii="Palatino Linotype" w:hAnsi="Palatino Linotype"/>
          <w:sz w:val="20"/>
          <w:szCs w:val="20"/>
          <w:lang w:val="en"/>
        </w:rPr>
        <w:t xml:space="preserve">        </w:t>
      </w:r>
      <w:r w:rsidRPr="00CA4401">
        <w:rPr>
          <w:rFonts w:ascii="Palatino Linotype" w:hAnsi="Palatino Linotype"/>
          <w:sz w:val="20"/>
          <w:szCs w:val="20"/>
          <w:lang w:val="en"/>
        </w:rPr>
        <w:t xml:space="preserve">The historical attempt to build a capital structure theory begins with Modigliani &amp; Miller (MM) (1958). They disclose the situation under conditions in which the capital structure is relevant or irrelevant to the financial performance of firms listed in the capital market. Most decision-making processes related to capital structure are the determining factors when determining capital structure. The determinants are a number of issues such as costs, different types of taxes and tax rates, as well as interest rates have been proposed to explain the variations in the use of financial leverage (Van Horne, 2002, Hampton, 1990) from various sources of capital for structures corporate capital and the benefits associated </w:t>
      </w:r>
      <w:r w:rsidRPr="00CA4401">
        <w:rPr>
          <w:rFonts w:ascii="Palatino Linotype" w:hAnsi="Palatino Linotype"/>
          <w:sz w:val="20"/>
          <w:szCs w:val="20"/>
          <w:lang w:val="en"/>
        </w:rPr>
        <w:t>with debt and equity financing.</w:t>
      </w:r>
    </w:p>
    <w:p w:rsidR="00BF4C31" w:rsidRPr="00CA4401" w:rsidRDefault="00BF4C31" w:rsidP="00BF4C31">
      <w:pPr>
        <w:spacing w:after="120" w:line="240" w:lineRule="auto"/>
        <w:jc w:val="both"/>
        <w:rPr>
          <w:rFonts w:ascii="Palatino Linotype" w:hAnsi="Palatino Linotype"/>
          <w:sz w:val="20"/>
          <w:szCs w:val="20"/>
          <w:lang w:val="en"/>
        </w:rPr>
      </w:pPr>
      <w:r w:rsidRPr="00CA4401">
        <w:rPr>
          <w:rFonts w:ascii="Palatino Linotype" w:hAnsi="Palatino Linotype"/>
          <w:sz w:val="20"/>
          <w:szCs w:val="20"/>
          <w:lang w:val="en"/>
        </w:rPr>
        <w:br/>
      </w:r>
      <w:r w:rsidR="00FA261E">
        <w:rPr>
          <w:rFonts w:ascii="Palatino Linotype" w:hAnsi="Palatino Linotype"/>
          <w:sz w:val="20"/>
          <w:szCs w:val="20"/>
          <w:lang w:val="en"/>
        </w:rPr>
        <w:t xml:space="preserve">        </w:t>
      </w:r>
      <w:r w:rsidRPr="00CA4401">
        <w:rPr>
          <w:rFonts w:ascii="Palatino Linotype" w:hAnsi="Palatino Linotype"/>
          <w:sz w:val="20"/>
          <w:szCs w:val="20"/>
          <w:lang w:val="en"/>
        </w:rPr>
        <w:t>The relationship between capital structure and financial performance is one of the contributions in the financial literature. How important is the control over the performance of the firm or the type of investor who exerts control over the relationship between capital structure and financial performance. To study the effect of capital structure or financial performance, it will help us to know the potential problems that exist in the performance and capital structure, as well as how the company maintains the performance and capital s</w:t>
      </w:r>
      <w:r w:rsidRPr="00CA4401">
        <w:rPr>
          <w:rFonts w:ascii="Palatino Linotype" w:hAnsi="Palatino Linotype"/>
          <w:sz w:val="20"/>
          <w:szCs w:val="20"/>
          <w:lang w:val="en"/>
        </w:rPr>
        <w:t>tructure in the face of crisis.</w:t>
      </w:r>
    </w:p>
    <w:p w:rsidR="00A7670F" w:rsidRPr="00CA4401" w:rsidRDefault="00BF4C31" w:rsidP="00BF4C31">
      <w:pPr>
        <w:spacing w:after="120" w:line="240" w:lineRule="auto"/>
        <w:jc w:val="both"/>
        <w:rPr>
          <w:rFonts w:ascii="Palatino Linotype" w:hAnsi="Palatino Linotype"/>
          <w:sz w:val="20"/>
          <w:szCs w:val="20"/>
          <w:lang w:val="en"/>
        </w:rPr>
      </w:pPr>
      <w:r w:rsidRPr="00CA4401">
        <w:rPr>
          <w:rFonts w:ascii="Palatino Linotype" w:hAnsi="Palatino Linotype"/>
          <w:sz w:val="20"/>
          <w:szCs w:val="20"/>
          <w:lang w:val="en"/>
        </w:rPr>
        <w:br/>
      </w:r>
      <w:r w:rsidR="00FA261E">
        <w:rPr>
          <w:rFonts w:ascii="Palatino Linotype" w:hAnsi="Palatino Linotype"/>
          <w:sz w:val="20"/>
          <w:szCs w:val="20"/>
          <w:lang w:val="en"/>
        </w:rPr>
        <w:t xml:space="preserve">       </w:t>
      </w:r>
      <w:r w:rsidRPr="00CA4401">
        <w:rPr>
          <w:rFonts w:ascii="Palatino Linotype" w:hAnsi="Palatino Linotype"/>
          <w:sz w:val="20"/>
          <w:szCs w:val="20"/>
          <w:lang w:val="en"/>
        </w:rPr>
        <w:t xml:space="preserve">The relationship between capital structure and financial performance is examined by </w:t>
      </w:r>
      <w:proofErr w:type="spellStart"/>
      <w:r w:rsidRPr="00CA4401">
        <w:rPr>
          <w:rFonts w:ascii="Palatino Linotype" w:hAnsi="Palatino Linotype"/>
          <w:sz w:val="20"/>
          <w:szCs w:val="20"/>
          <w:lang w:val="en"/>
        </w:rPr>
        <w:t>Uwuigbe</w:t>
      </w:r>
      <w:proofErr w:type="spellEnd"/>
      <w:r w:rsidRPr="00CA4401">
        <w:rPr>
          <w:rFonts w:ascii="Palatino Linotype" w:hAnsi="Palatino Linotype"/>
          <w:sz w:val="20"/>
          <w:szCs w:val="20"/>
          <w:lang w:val="en"/>
        </w:rPr>
        <w:t xml:space="preserve"> and </w:t>
      </w:r>
      <w:proofErr w:type="spellStart"/>
      <w:r w:rsidRPr="00CA4401">
        <w:rPr>
          <w:rFonts w:ascii="Palatino Linotype" w:hAnsi="Palatino Linotype"/>
          <w:sz w:val="20"/>
          <w:szCs w:val="20"/>
          <w:lang w:val="en"/>
        </w:rPr>
        <w:t>Olayinka</w:t>
      </w:r>
      <w:proofErr w:type="spellEnd"/>
      <w:r w:rsidRPr="00CA4401">
        <w:rPr>
          <w:rFonts w:ascii="Palatino Linotype" w:hAnsi="Palatino Linotype"/>
          <w:sz w:val="20"/>
          <w:szCs w:val="20"/>
          <w:lang w:val="en"/>
        </w:rPr>
        <w:t xml:space="preserve"> (2012). The research results stated that the capital structure is valued from short-term debt, shareholder funds and long-term debt. Short-term debt and shareholder funds have a significant positive relationship with financial performance, while significant long-term debt has a negative impact on the financial performance of listed companies in Nigeria. In contrast to </w:t>
      </w:r>
      <w:proofErr w:type="spellStart"/>
      <w:r w:rsidRPr="00CA4401">
        <w:rPr>
          <w:rFonts w:ascii="Palatino Linotype" w:hAnsi="Palatino Linotype"/>
          <w:sz w:val="20"/>
          <w:szCs w:val="20"/>
          <w:lang w:val="en"/>
        </w:rPr>
        <w:t>Uwigbe</w:t>
      </w:r>
      <w:proofErr w:type="spellEnd"/>
      <w:r w:rsidRPr="00CA4401">
        <w:rPr>
          <w:rFonts w:ascii="Palatino Linotype" w:hAnsi="Palatino Linotype"/>
          <w:sz w:val="20"/>
          <w:szCs w:val="20"/>
          <w:lang w:val="en"/>
        </w:rPr>
        <w:t xml:space="preserve"> and </w:t>
      </w:r>
      <w:proofErr w:type="spellStart"/>
      <w:r w:rsidRPr="00CA4401">
        <w:rPr>
          <w:rFonts w:ascii="Palatino Linotype" w:hAnsi="Palatino Linotype"/>
          <w:sz w:val="20"/>
          <w:szCs w:val="20"/>
          <w:lang w:val="en"/>
        </w:rPr>
        <w:t>Olayinka</w:t>
      </w:r>
      <w:proofErr w:type="spellEnd"/>
      <w:r w:rsidRPr="00CA4401">
        <w:rPr>
          <w:rFonts w:ascii="Palatino Linotype" w:hAnsi="Palatino Linotype"/>
          <w:sz w:val="20"/>
          <w:szCs w:val="20"/>
          <w:lang w:val="en"/>
        </w:rPr>
        <w:t xml:space="preserve">, a similar study conducted by </w:t>
      </w:r>
      <w:proofErr w:type="spellStart"/>
      <w:r w:rsidRPr="00CA4401">
        <w:rPr>
          <w:rFonts w:ascii="Palatino Linotype" w:hAnsi="Palatino Linotype"/>
          <w:sz w:val="20"/>
          <w:szCs w:val="20"/>
          <w:lang w:val="en"/>
        </w:rPr>
        <w:t>Puwanenthiren</w:t>
      </w:r>
      <w:proofErr w:type="spellEnd"/>
      <w:r w:rsidRPr="00CA4401">
        <w:rPr>
          <w:rFonts w:ascii="Palatino Linotype" w:hAnsi="Palatino Linotype"/>
          <w:sz w:val="20"/>
          <w:szCs w:val="20"/>
          <w:lang w:val="en"/>
        </w:rPr>
        <w:t xml:space="preserve"> </w:t>
      </w:r>
      <w:proofErr w:type="spellStart"/>
      <w:r w:rsidRPr="00CA4401">
        <w:rPr>
          <w:rFonts w:ascii="Palatino Linotype" w:hAnsi="Palatino Linotype"/>
          <w:sz w:val="20"/>
          <w:szCs w:val="20"/>
          <w:lang w:val="en"/>
        </w:rPr>
        <w:t>Pratheepkanth</w:t>
      </w:r>
      <w:proofErr w:type="spellEnd"/>
      <w:r w:rsidRPr="00CA4401">
        <w:rPr>
          <w:rFonts w:ascii="Palatino Linotype" w:hAnsi="Palatino Linotype"/>
          <w:sz w:val="20"/>
          <w:szCs w:val="20"/>
          <w:lang w:val="en"/>
        </w:rPr>
        <w:t xml:space="preserve"> (2011) in the results of his research states, there is a negative relationship between capital structure and financial performance. This reflects the significant level of business firms in Sri Lanka largely dependent on debt capital. Therefore, they have to pay a lot of interest.</w:t>
      </w:r>
    </w:p>
    <w:p w:rsidR="00CA4401" w:rsidRDefault="00FA261E" w:rsidP="00BF4C31">
      <w:pPr>
        <w:spacing w:after="120" w:line="240" w:lineRule="auto"/>
        <w:jc w:val="both"/>
        <w:rPr>
          <w:rFonts w:ascii="Palatino Linotype" w:hAnsi="Palatino Linotype"/>
          <w:sz w:val="20"/>
          <w:szCs w:val="20"/>
          <w:lang w:val="en"/>
        </w:rPr>
      </w:pPr>
      <w:r>
        <w:rPr>
          <w:rFonts w:ascii="Palatino Linotype" w:hAnsi="Palatino Linotype"/>
          <w:sz w:val="20"/>
          <w:szCs w:val="20"/>
          <w:lang w:val="en"/>
        </w:rPr>
        <w:t xml:space="preserve">       </w:t>
      </w:r>
      <w:r w:rsidR="00CA4401" w:rsidRPr="00CA4401">
        <w:rPr>
          <w:rFonts w:ascii="Palatino Linotype" w:hAnsi="Palatino Linotype"/>
          <w:sz w:val="20"/>
          <w:szCs w:val="20"/>
          <w:lang w:val="en"/>
        </w:rPr>
        <w:t xml:space="preserve">In addition to capital structure, insider ownership or managerial ownership can also be a variable that can affect financial performance, as investigated by Khalil, Syed, and </w:t>
      </w:r>
      <w:proofErr w:type="spellStart"/>
      <w:r w:rsidR="00CA4401" w:rsidRPr="00CA4401">
        <w:rPr>
          <w:rFonts w:ascii="Palatino Linotype" w:hAnsi="Palatino Linotype"/>
          <w:sz w:val="20"/>
          <w:szCs w:val="20"/>
          <w:lang w:val="en"/>
        </w:rPr>
        <w:t>Zahid</w:t>
      </w:r>
      <w:proofErr w:type="spellEnd"/>
      <w:r w:rsidR="00CA4401" w:rsidRPr="00CA4401">
        <w:rPr>
          <w:rFonts w:ascii="Palatino Linotype" w:hAnsi="Palatino Linotype"/>
          <w:sz w:val="20"/>
          <w:szCs w:val="20"/>
          <w:lang w:val="en"/>
        </w:rPr>
        <w:t xml:space="preserve"> (2012). The results of their research concluded that the ownership structure of non-financial companies had a significant negative effect o</w:t>
      </w:r>
      <w:r w:rsidR="00CA4401">
        <w:rPr>
          <w:rFonts w:ascii="Palatino Linotype" w:hAnsi="Palatino Linotype"/>
          <w:sz w:val="20"/>
          <w:szCs w:val="20"/>
          <w:lang w:val="en"/>
        </w:rPr>
        <w:t>n firm performance in Pakistan.</w:t>
      </w:r>
    </w:p>
    <w:p w:rsidR="00CA4401" w:rsidRPr="00CA4401" w:rsidRDefault="00CA4401" w:rsidP="00BF4C31">
      <w:pPr>
        <w:spacing w:after="120" w:line="240" w:lineRule="auto"/>
        <w:jc w:val="both"/>
        <w:rPr>
          <w:rFonts w:ascii="Palatino Linotype" w:hAnsi="Palatino Linotype"/>
          <w:sz w:val="20"/>
          <w:szCs w:val="20"/>
          <w:lang w:val="en"/>
        </w:rPr>
      </w:pPr>
      <w:r w:rsidRPr="00CA4401">
        <w:rPr>
          <w:rFonts w:ascii="Palatino Linotype" w:hAnsi="Palatino Linotype"/>
          <w:sz w:val="20"/>
          <w:szCs w:val="20"/>
          <w:lang w:val="en"/>
        </w:rPr>
        <w:br/>
      </w:r>
      <w:r w:rsidR="00FA261E">
        <w:rPr>
          <w:rFonts w:ascii="Palatino Linotype" w:hAnsi="Palatino Linotype"/>
          <w:sz w:val="20"/>
          <w:szCs w:val="20"/>
          <w:lang w:val="en"/>
        </w:rPr>
        <w:t xml:space="preserve">       </w:t>
      </w:r>
      <w:r w:rsidRPr="00CA4401">
        <w:rPr>
          <w:rFonts w:ascii="Palatino Linotype" w:hAnsi="Palatino Linotype"/>
          <w:sz w:val="20"/>
          <w:szCs w:val="20"/>
          <w:lang w:val="en"/>
        </w:rPr>
        <w:t xml:space="preserve">A review of various international journals, as well as the phenomenon of the financial crisis that began in 2008, hit the world market exchanges including the Indonesia Stock Exchange Market. Therefore, investigating the relationship between firm size, growth, capital structure, insider ownership, and corporate financial performance after the crisis </w:t>
      </w:r>
      <w:r w:rsidRPr="00CA4401">
        <w:rPr>
          <w:rFonts w:ascii="Palatino Linotype" w:hAnsi="Palatino Linotype"/>
          <w:sz w:val="20"/>
          <w:szCs w:val="20"/>
          <w:lang w:val="en"/>
        </w:rPr>
        <w:t>is highly relevant to research.</w:t>
      </w:r>
    </w:p>
    <w:p w:rsidR="00CA4401" w:rsidRPr="00CA4401" w:rsidRDefault="00CA4401" w:rsidP="00BF4C31">
      <w:pPr>
        <w:spacing w:after="120" w:line="240" w:lineRule="auto"/>
        <w:jc w:val="both"/>
        <w:rPr>
          <w:rFonts w:ascii="Palatino Linotype" w:hAnsi="Palatino Linotype" w:cstheme="minorHAnsi"/>
          <w:sz w:val="20"/>
          <w:szCs w:val="20"/>
          <w:lang w:val="en-US"/>
        </w:rPr>
      </w:pPr>
      <w:r w:rsidRPr="00CA4401">
        <w:rPr>
          <w:rFonts w:ascii="Palatino Linotype" w:hAnsi="Palatino Linotype"/>
          <w:sz w:val="20"/>
          <w:szCs w:val="20"/>
          <w:lang w:val="en"/>
        </w:rPr>
        <w:lastRenderedPageBreak/>
        <w:br/>
      </w:r>
      <w:r w:rsidR="00FA261E">
        <w:rPr>
          <w:rFonts w:ascii="Palatino Linotype" w:hAnsi="Palatino Linotype"/>
          <w:sz w:val="20"/>
          <w:szCs w:val="20"/>
          <w:lang w:val="en"/>
        </w:rPr>
        <w:t xml:space="preserve">       </w:t>
      </w:r>
      <w:r w:rsidRPr="00CA4401">
        <w:rPr>
          <w:rFonts w:ascii="Palatino Linotype" w:hAnsi="Palatino Linotype"/>
          <w:sz w:val="20"/>
          <w:szCs w:val="20"/>
          <w:lang w:val="en"/>
        </w:rPr>
        <w:t xml:space="preserve">The reason the authors choose the manufacturing sector because the manufacturing sector is affected significantly due to the global financial crisis, based on data from the </w:t>
      </w:r>
      <w:proofErr w:type="spellStart"/>
      <w:r>
        <w:rPr>
          <w:rFonts w:ascii="Palatino Linotype" w:hAnsi="Palatino Linotype"/>
          <w:sz w:val="20"/>
          <w:szCs w:val="20"/>
          <w:lang w:val="en"/>
        </w:rPr>
        <w:t>Badan</w:t>
      </w:r>
      <w:proofErr w:type="spellEnd"/>
      <w:r>
        <w:rPr>
          <w:rFonts w:ascii="Palatino Linotype" w:hAnsi="Palatino Linotype"/>
          <w:sz w:val="20"/>
          <w:szCs w:val="20"/>
          <w:lang w:val="en"/>
        </w:rPr>
        <w:t xml:space="preserve"> </w:t>
      </w:r>
      <w:proofErr w:type="spellStart"/>
      <w:r>
        <w:rPr>
          <w:rFonts w:ascii="Palatino Linotype" w:hAnsi="Palatino Linotype"/>
          <w:sz w:val="20"/>
          <w:szCs w:val="20"/>
          <w:lang w:val="en"/>
        </w:rPr>
        <w:t>Pusat</w:t>
      </w:r>
      <w:proofErr w:type="spellEnd"/>
      <w:r>
        <w:rPr>
          <w:rFonts w:ascii="Palatino Linotype" w:hAnsi="Palatino Linotype"/>
          <w:sz w:val="20"/>
          <w:szCs w:val="20"/>
          <w:lang w:val="en"/>
        </w:rPr>
        <w:t xml:space="preserve"> </w:t>
      </w:r>
      <w:proofErr w:type="spellStart"/>
      <w:r>
        <w:rPr>
          <w:rFonts w:ascii="Palatino Linotype" w:hAnsi="Palatino Linotype"/>
          <w:sz w:val="20"/>
          <w:szCs w:val="20"/>
          <w:lang w:val="en"/>
        </w:rPr>
        <w:t>Statistik</w:t>
      </w:r>
      <w:proofErr w:type="spellEnd"/>
      <w:r w:rsidRPr="00CA4401">
        <w:rPr>
          <w:rFonts w:ascii="Palatino Linotype" w:hAnsi="Palatino Linotype"/>
          <w:sz w:val="20"/>
          <w:szCs w:val="20"/>
          <w:lang w:val="en"/>
        </w:rPr>
        <w:t xml:space="preserve"> (BPS) (http://www.bps.go.id) so it needs to be further examined how the company maintains the financial performance of the company.</w:t>
      </w:r>
    </w:p>
    <w:p w:rsidR="00CA4401" w:rsidRDefault="00CA4401">
      <w:pPr>
        <w:spacing w:after="120" w:line="240" w:lineRule="auto"/>
        <w:ind w:firstLine="284"/>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Method</w:t>
      </w:r>
    </w:p>
    <w:p w:rsidR="00A6637F" w:rsidRPr="00A6637F" w:rsidRDefault="00A6637F" w:rsidP="00A6637F">
      <w:pPr>
        <w:spacing w:after="0" w:line="240" w:lineRule="auto"/>
        <w:ind w:firstLine="284"/>
        <w:jc w:val="both"/>
        <w:rPr>
          <w:rFonts w:ascii="Palatino Linotype" w:eastAsia="Times New Roman" w:hAnsi="Palatino Linotype"/>
          <w:sz w:val="20"/>
          <w:szCs w:val="20"/>
          <w:lang w:val="en-US"/>
        </w:rPr>
      </w:pPr>
      <w:r w:rsidRPr="00A6637F">
        <w:rPr>
          <w:rFonts w:ascii="Palatino Linotype" w:eastAsia="Times New Roman" w:hAnsi="Palatino Linotype"/>
          <w:sz w:val="20"/>
          <w:szCs w:val="20"/>
          <w:lang w:val="en"/>
        </w:rPr>
        <w:t>The type of research can be classified in hypothesis testing research. This research is a type of research with problem characteristic of causality between two variables or more. So the purpose of this study is to see how the influence of o</w:t>
      </w:r>
      <w:r>
        <w:rPr>
          <w:rFonts w:ascii="Palatino Linotype" w:eastAsia="Times New Roman" w:hAnsi="Palatino Linotype"/>
          <w:sz w:val="20"/>
          <w:szCs w:val="20"/>
          <w:lang w:val="en"/>
        </w:rPr>
        <w:t xml:space="preserve">ne variable to other variables. </w:t>
      </w:r>
      <w:r w:rsidRPr="00A6637F">
        <w:rPr>
          <w:rFonts w:ascii="Palatino Linotype" w:eastAsia="Times New Roman" w:hAnsi="Palatino Linotype"/>
          <w:sz w:val="20"/>
          <w:szCs w:val="20"/>
          <w:lang w:val="en"/>
        </w:rPr>
        <w:t xml:space="preserve">The </w:t>
      </w:r>
      <w:proofErr w:type="gramStart"/>
      <w:r w:rsidRPr="00A6637F">
        <w:rPr>
          <w:rFonts w:ascii="Palatino Linotype" w:eastAsia="Times New Roman" w:hAnsi="Palatino Linotype"/>
          <w:sz w:val="20"/>
          <w:szCs w:val="20"/>
          <w:lang w:val="en"/>
        </w:rPr>
        <w:t>population in this study are</w:t>
      </w:r>
      <w:proofErr w:type="gramEnd"/>
      <w:r w:rsidRPr="00A6637F">
        <w:rPr>
          <w:rFonts w:ascii="Palatino Linotype" w:eastAsia="Times New Roman" w:hAnsi="Palatino Linotype"/>
          <w:sz w:val="20"/>
          <w:szCs w:val="20"/>
          <w:lang w:val="en"/>
        </w:rPr>
        <w:t xml:space="preserve"> Manufacturing Companies listed on Indonesia Stock Exchange (IDX) in 2009 until 2011 with purposive sampling method. After the sample is collected, the sample of 66 Manufacturing Companies that meet the predetermined criteria is to publish the financial statements continuously from 2009, 2010, and 2011.</w:t>
      </w:r>
    </w:p>
    <w:p w:rsidR="00A30D3F" w:rsidRDefault="00A30D3F">
      <w:pPr>
        <w:spacing w:after="120" w:line="240" w:lineRule="auto"/>
        <w:jc w:val="both"/>
        <w:rPr>
          <w:rFonts w:ascii="Palatino Linotype" w:hAnsi="Palatino Linotype" w:cstheme="minorHAnsi"/>
          <w:b/>
          <w:sz w:val="24"/>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 and Discussion</w:t>
      </w:r>
    </w:p>
    <w:p w:rsidR="00F075D1" w:rsidRPr="0068275D" w:rsidRDefault="00F075D1">
      <w:pPr>
        <w:spacing w:after="120" w:line="240" w:lineRule="auto"/>
        <w:ind w:firstLine="284"/>
        <w:jc w:val="both"/>
        <w:rPr>
          <w:rFonts w:ascii="Palatino Linotype" w:hAnsi="Palatino Linotype" w:cstheme="minorHAnsi"/>
          <w:sz w:val="20"/>
          <w:szCs w:val="20"/>
          <w:lang w:val="en-US"/>
        </w:rPr>
      </w:pPr>
      <w:r w:rsidRPr="0068275D">
        <w:rPr>
          <w:rFonts w:ascii="Palatino Linotype" w:hAnsi="Palatino Linotype"/>
          <w:sz w:val="20"/>
          <w:szCs w:val="20"/>
          <w:lang w:val="en"/>
        </w:rPr>
        <w:t>This study uses manufacturing companies listed on the Indonesia Stock Exchange since 2009 until 2011 and has been selected through purposive sampling method amounting to 66 companies, while the number of sample observations during the year 2009 to 2011 amounted to 198 research samples. The significant level in this study is 5%, meaning the risk of mistake to make a decision is 5%. Test results can be seen from the table below:</w:t>
      </w:r>
    </w:p>
    <w:p w:rsidR="0068275D" w:rsidRPr="0068275D" w:rsidRDefault="0068275D" w:rsidP="0068275D">
      <w:pPr>
        <w:pStyle w:val="NoSpacing"/>
        <w:jc w:val="center"/>
        <w:rPr>
          <w:rFonts w:ascii="Palatino Linotype" w:hAnsi="Palatino Linotype"/>
          <w:sz w:val="20"/>
          <w:szCs w:val="20"/>
          <w:lang w:val="sv-SE"/>
        </w:rPr>
      </w:pPr>
      <w:r w:rsidRPr="0068275D">
        <w:rPr>
          <w:rFonts w:ascii="Palatino Linotype" w:hAnsi="Palatino Linotype"/>
          <w:sz w:val="20"/>
          <w:szCs w:val="20"/>
          <w:lang w:val="sv-SE"/>
        </w:rPr>
        <w:t>Tabel 2</w:t>
      </w:r>
    </w:p>
    <w:p w:rsidR="0068275D" w:rsidRPr="0068275D" w:rsidRDefault="0068275D" w:rsidP="0068275D">
      <w:pPr>
        <w:pStyle w:val="NoSpacing"/>
        <w:jc w:val="center"/>
        <w:rPr>
          <w:rFonts w:ascii="Palatino Linotype" w:hAnsi="Palatino Linotype"/>
          <w:sz w:val="20"/>
          <w:szCs w:val="20"/>
        </w:rPr>
      </w:pPr>
      <w:r w:rsidRPr="0068275D">
        <w:rPr>
          <w:rFonts w:ascii="Palatino Linotype" w:hAnsi="Palatino Linotype"/>
          <w:sz w:val="20"/>
          <w:szCs w:val="20"/>
          <w:lang w:val="sv-SE"/>
        </w:rPr>
        <w:t xml:space="preserve">    Hasil </w:t>
      </w:r>
      <w:proofErr w:type="spellStart"/>
      <w:r w:rsidRPr="0068275D">
        <w:rPr>
          <w:rFonts w:ascii="Palatino Linotype" w:hAnsi="Palatino Linotype"/>
          <w:sz w:val="20"/>
          <w:szCs w:val="20"/>
        </w:rPr>
        <w:t>Uji</w:t>
      </w:r>
      <w:proofErr w:type="spellEnd"/>
      <w:r w:rsidRPr="0068275D">
        <w:rPr>
          <w:rFonts w:ascii="Palatino Linotype" w:hAnsi="Palatino Linotype"/>
          <w:sz w:val="20"/>
          <w:szCs w:val="20"/>
        </w:rPr>
        <w:t xml:space="preserve"> t (t-test)</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2268"/>
        <w:gridCol w:w="1134"/>
        <w:gridCol w:w="1134"/>
        <w:gridCol w:w="1275"/>
        <w:gridCol w:w="993"/>
        <w:gridCol w:w="992"/>
      </w:tblGrid>
      <w:tr w:rsidR="0068275D" w:rsidRPr="0068275D" w:rsidTr="00324DF1">
        <w:tblPrEx>
          <w:tblCellMar>
            <w:top w:w="0" w:type="dxa"/>
            <w:bottom w:w="0" w:type="dxa"/>
          </w:tblCellMar>
        </w:tblPrEx>
        <w:trPr>
          <w:cantSplit/>
          <w:tblHeader/>
        </w:trPr>
        <w:tc>
          <w:tcPr>
            <w:tcW w:w="2694" w:type="dxa"/>
            <w:gridSpan w:val="2"/>
            <w:vMerge w:val="restart"/>
            <w:tcBorders>
              <w:top w:val="single" w:sz="18" w:space="0" w:color="000000"/>
              <w:left w:val="single" w:sz="1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r w:rsidRPr="0068275D">
              <w:rPr>
                <w:rFonts w:ascii="Palatino Linotype" w:hAnsi="Palatino Linotype"/>
                <w:color w:val="000000"/>
                <w:sz w:val="20"/>
                <w:szCs w:val="20"/>
              </w:rPr>
              <w:t>Model</w:t>
            </w:r>
          </w:p>
        </w:tc>
        <w:tc>
          <w:tcPr>
            <w:tcW w:w="2268" w:type="dxa"/>
            <w:gridSpan w:val="2"/>
            <w:tcBorders>
              <w:top w:val="single" w:sz="18" w:space="0" w:color="000000"/>
              <w:left w:val="single" w:sz="16"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jc w:val="center"/>
              <w:rPr>
                <w:rFonts w:ascii="Palatino Linotype" w:hAnsi="Palatino Linotype"/>
                <w:color w:val="000000"/>
                <w:sz w:val="20"/>
                <w:szCs w:val="20"/>
              </w:rPr>
            </w:pPr>
            <w:r w:rsidRPr="0068275D">
              <w:rPr>
                <w:rFonts w:ascii="Palatino Linotype" w:hAnsi="Palatino Linotype"/>
                <w:color w:val="000000"/>
                <w:sz w:val="20"/>
                <w:szCs w:val="20"/>
              </w:rPr>
              <w:t>Unstandardized Coefficients</w:t>
            </w:r>
          </w:p>
        </w:tc>
        <w:tc>
          <w:tcPr>
            <w:tcW w:w="1275" w:type="dxa"/>
            <w:tcBorders>
              <w:top w:val="single" w:sz="18"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jc w:val="center"/>
              <w:rPr>
                <w:rFonts w:ascii="Palatino Linotype" w:hAnsi="Palatino Linotype"/>
                <w:color w:val="000000"/>
                <w:sz w:val="20"/>
                <w:szCs w:val="20"/>
              </w:rPr>
            </w:pPr>
            <w:r w:rsidRPr="0068275D">
              <w:rPr>
                <w:rFonts w:ascii="Palatino Linotype" w:hAnsi="Palatino Linotype"/>
                <w:color w:val="000000"/>
                <w:sz w:val="20"/>
                <w:szCs w:val="20"/>
              </w:rPr>
              <w:t>Standardized Coefficients</w:t>
            </w:r>
          </w:p>
        </w:tc>
        <w:tc>
          <w:tcPr>
            <w:tcW w:w="993" w:type="dxa"/>
            <w:vMerge w:val="restart"/>
            <w:tcBorders>
              <w:top w:val="single" w:sz="18" w:space="0" w:color="000000"/>
              <w:bottom w:val="single" w:sz="16" w:space="0" w:color="000000"/>
              <w:right w:val="single" w:sz="12"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jc w:val="center"/>
              <w:rPr>
                <w:rFonts w:ascii="Palatino Linotype" w:hAnsi="Palatino Linotype"/>
                <w:color w:val="000000"/>
                <w:sz w:val="20"/>
                <w:szCs w:val="20"/>
              </w:rPr>
            </w:pPr>
            <w:r w:rsidRPr="0068275D">
              <w:rPr>
                <w:rFonts w:ascii="Palatino Linotype" w:hAnsi="Palatino Linotype"/>
                <w:color w:val="000000"/>
                <w:sz w:val="20"/>
                <w:szCs w:val="20"/>
              </w:rPr>
              <w:t>t</w:t>
            </w:r>
          </w:p>
        </w:tc>
        <w:tc>
          <w:tcPr>
            <w:tcW w:w="992" w:type="dxa"/>
            <w:vMerge w:val="restart"/>
            <w:tcBorders>
              <w:top w:val="single" w:sz="18" w:space="0" w:color="000000"/>
              <w:left w:val="single" w:sz="12" w:space="0" w:color="000000"/>
              <w:bottom w:val="single" w:sz="16" w:space="0" w:color="000000"/>
              <w:right w:val="single" w:sz="12"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jc w:val="center"/>
              <w:rPr>
                <w:rFonts w:ascii="Palatino Linotype" w:hAnsi="Palatino Linotype"/>
                <w:color w:val="000000"/>
                <w:sz w:val="20"/>
                <w:szCs w:val="20"/>
              </w:rPr>
            </w:pPr>
            <w:r w:rsidRPr="0068275D">
              <w:rPr>
                <w:rFonts w:ascii="Palatino Linotype" w:hAnsi="Palatino Linotype"/>
                <w:color w:val="000000"/>
                <w:sz w:val="20"/>
                <w:szCs w:val="20"/>
              </w:rPr>
              <w:t>Sig.</w:t>
            </w:r>
          </w:p>
        </w:tc>
      </w:tr>
      <w:tr w:rsidR="0068275D" w:rsidRPr="0068275D" w:rsidTr="00324DF1">
        <w:tblPrEx>
          <w:tblCellMar>
            <w:top w:w="0" w:type="dxa"/>
            <w:bottom w:w="0" w:type="dxa"/>
          </w:tblCellMar>
        </w:tblPrEx>
        <w:trPr>
          <w:cantSplit/>
          <w:tblHeader/>
        </w:trPr>
        <w:tc>
          <w:tcPr>
            <w:tcW w:w="2694" w:type="dxa"/>
            <w:gridSpan w:val="2"/>
            <w:vMerge/>
            <w:tcBorders>
              <w:top w:val="single" w:sz="16" w:space="0" w:color="000000"/>
              <w:left w:val="single" w:sz="1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jc w:val="center"/>
              <w:rPr>
                <w:rFonts w:ascii="Palatino Linotype" w:hAnsi="Palatino Linotype"/>
                <w:color w:val="000000"/>
                <w:sz w:val="20"/>
                <w:szCs w:val="20"/>
              </w:rPr>
            </w:pPr>
            <w:r w:rsidRPr="0068275D">
              <w:rPr>
                <w:rFonts w:ascii="Palatino Linotype" w:hAnsi="Palatino Linotype"/>
                <w:color w:val="000000"/>
                <w:sz w:val="20"/>
                <w:szCs w:val="20"/>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jc w:val="center"/>
              <w:rPr>
                <w:rFonts w:ascii="Palatino Linotype" w:hAnsi="Palatino Linotype"/>
                <w:color w:val="000000"/>
                <w:sz w:val="20"/>
                <w:szCs w:val="20"/>
              </w:rPr>
            </w:pPr>
            <w:r w:rsidRPr="0068275D">
              <w:rPr>
                <w:rFonts w:ascii="Palatino Linotype" w:hAnsi="Palatino Linotype"/>
                <w:color w:val="000000"/>
                <w:sz w:val="20"/>
                <w:szCs w:val="20"/>
              </w:rPr>
              <w:t>Std. Error</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jc w:val="center"/>
              <w:rPr>
                <w:rFonts w:ascii="Palatino Linotype" w:hAnsi="Palatino Linotype"/>
                <w:color w:val="000000"/>
                <w:sz w:val="20"/>
                <w:szCs w:val="20"/>
              </w:rPr>
            </w:pPr>
            <w:r w:rsidRPr="0068275D">
              <w:rPr>
                <w:rFonts w:ascii="Palatino Linotype" w:hAnsi="Palatino Linotype"/>
                <w:color w:val="000000"/>
                <w:sz w:val="20"/>
                <w:szCs w:val="20"/>
              </w:rPr>
              <w:t>Beta</w:t>
            </w:r>
          </w:p>
        </w:tc>
        <w:tc>
          <w:tcPr>
            <w:tcW w:w="993" w:type="dxa"/>
            <w:vMerge/>
            <w:tcBorders>
              <w:top w:val="single" w:sz="16" w:space="0" w:color="000000"/>
              <w:bottom w:val="single" w:sz="16" w:space="0" w:color="000000"/>
              <w:right w:val="single" w:sz="12"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p>
        </w:tc>
        <w:tc>
          <w:tcPr>
            <w:tcW w:w="992" w:type="dxa"/>
            <w:vMerge/>
            <w:tcBorders>
              <w:top w:val="single" w:sz="16" w:space="0" w:color="000000"/>
              <w:left w:val="single" w:sz="12" w:space="0" w:color="000000"/>
              <w:bottom w:val="single" w:sz="16" w:space="0" w:color="000000"/>
              <w:right w:val="single" w:sz="12" w:space="0" w:color="000000"/>
            </w:tcBorders>
            <w:shd w:val="clear" w:color="auto" w:fill="FFFFFF"/>
            <w:tcMar>
              <w:top w:w="30" w:type="dxa"/>
              <w:left w:w="30" w:type="dxa"/>
              <w:bottom w:w="30" w:type="dxa"/>
              <w:right w:w="30" w:type="dxa"/>
            </w:tcMar>
            <w:vAlign w:val="bottom"/>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p>
        </w:tc>
      </w:tr>
      <w:tr w:rsidR="0068275D" w:rsidRPr="0068275D" w:rsidTr="00324DF1">
        <w:tblPrEx>
          <w:tblCellMar>
            <w:top w:w="0" w:type="dxa"/>
            <w:bottom w:w="0" w:type="dxa"/>
          </w:tblCellMar>
        </w:tblPrEx>
        <w:trPr>
          <w:cantSplit/>
          <w:tblHeader/>
        </w:trPr>
        <w:tc>
          <w:tcPr>
            <w:tcW w:w="426" w:type="dxa"/>
            <w:vMerge w:val="restart"/>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r w:rsidRPr="0068275D">
              <w:rPr>
                <w:rFonts w:ascii="Palatino Linotype" w:hAnsi="Palatino Linotype"/>
                <w:color w:val="000000"/>
                <w:sz w:val="20"/>
                <w:szCs w:val="20"/>
              </w:rPr>
              <w:t>1</w:t>
            </w:r>
          </w:p>
        </w:tc>
        <w:tc>
          <w:tcPr>
            <w:tcW w:w="22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r w:rsidRPr="0068275D">
              <w:rPr>
                <w:rFonts w:ascii="Palatino Linotype" w:hAnsi="Palatino Linotype"/>
                <w:color w:val="000000"/>
                <w:sz w:val="20"/>
                <w:szCs w:val="20"/>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9.394</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4.912</w:t>
            </w:r>
          </w:p>
        </w:tc>
        <w:tc>
          <w:tcPr>
            <w:tcW w:w="1275" w:type="dxa"/>
            <w:tcBorders>
              <w:top w:val="single" w:sz="16" w:space="0" w:color="000000"/>
              <w:bottom w:val="nil"/>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sz w:val="20"/>
                <w:szCs w:val="20"/>
              </w:rPr>
            </w:pPr>
          </w:p>
        </w:tc>
        <w:tc>
          <w:tcPr>
            <w:tcW w:w="993" w:type="dxa"/>
            <w:tcBorders>
              <w:top w:val="single" w:sz="16" w:space="0" w:color="000000"/>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1.913</w:t>
            </w:r>
          </w:p>
        </w:tc>
        <w:tc>
          <w:tcPr>
            <w:tcW w:w="992" w:type="dxa"/>
            <w:tcBorders>
              <w:top w:val="single" w:sz="16" w:space="0" w:color="000000"/>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.057</w:t>
            </w:r>
          </w:p>
        </w:tc>
      </w:tr>
      <w:tr w:rsidR="0068275D" w:rsidRPr="0068275D" w:rsidTr="00324DF1">
        <w:tblPrEx>
          <w:tblCellMar>
            <w:top w:w="0" w:type="dxa"/>
            <w:bottom w:w="0" w:type="dxa"/>
          </w:tblCellMar>
        </w:tblPrEx>
        <w:trPr>
          <w:cantSplit/>
          <w:tblHeader/>
        </w:trPr>
        <w:tc>
          <w:tcPr>
            <w:tcW w:w="426"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sz w:val="20"/>
                <w:szCs w:val="20"/>
              </w:rPr>
            </w:pPr>
          </w:p>
        </w:tc>
        <w:tc>
          <w:tcPr>
            <w:tcW w:w="2268" w:type="dxa"/>
            <w:tcBorders>
              <w:top w:val="nil"/>
              <w:left w:val="nil"/>
              <w:bottom w:val="nil"/>
              <w:right w:val="single" w:sz="16" w:space="0" w:color="000000"/>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lang w:val="en-US"/>
              </w:rPr>
            </w:pPr>
            <w:r w:rsidRPr="0068275D">
              <w:rPr>
                <w:rFonts w:ascii="Palatino Linotype" w:hAnsi="Palatino Linotype"/>
                <w:color w:val="000000"/>
                <w:sz w:val="20"/>
                <w:szCs w:val="20"/>
                <w:lang w:val="en-US"/>
              </w:rPr>
              <w:t>Firm Size</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-.118</w:t>
            </w:r>
          </w:p>
        </w:tc>
        <w:tc>
          <w:tcPr>
            <w:tcW w:w="1134" w:type="dxa"/>
            <w:tcBorders>
              <w:top w:val="nil"/>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.749</w:t>
            </w:r>
          </w:p>
        </w:tc>
        <w:tc>
          <w:tcPr>
            <w:tcW w:w="1275" w:type="dxa"/>
            <w:tcBorders>
              <w:top w:val="nil"/>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-.011</w:t>
            </w:r>
          </w:p>
        </w:tc>
        <w:tc>
          <w:tcPr>
            <w:tcW w:w="993" w:type="dxa"/>
            <w:tcBorders>
              <w:top w:val="nil"/>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-.158</w:t>
            </w:r>
          </w:p>
        </w:tc>
        <w:tc>
          <w:tcPr>
            <w:tcW w:w="992" w:type="dxa"/>
            <w:tcBorders>
              <w:top w:val="nil"/>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.875</w:t>
            </w:r>
          </w:p>
        </w:tc>
      </w:tr>
      <w:tr w:rsidR="0068275D" w:rsidRPr="0068275D" w:rsidTr="00324DF1">
        <w:tblPrEx>
          <w:tblCellMar>
            <w:top w:w="0" w:type="dxa"/>
            <w:bottom w:w="0" w:type="dxa"/>
          </w:tblCellMar>
        </w:tblPrEx>
        <w:trPr>
          <w:cantSplit/>
          <w:tblHeader/>
        </w:trPr>
        <w:tc>
          <w:tcPr>
            <w:tcW w:w="426"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p>
        </w:tc>
        <w:tc>
          <w:tcPr>
            <w:tcW w:w="2268" w:type="dxa"/>
            <w:tcBorders>
              <w:top w:val="nil"/>
              <w:left w:val="nil"/>
              <w:bottom w:val="nil"/>
              <w:right w:val="single" w:sz="16" w:space="0" w:color="000000"/>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r w:rsidRPr="0068275D">
              <w:rPr>
                <w:rFonts w:ascii="Palatino Linotype" w:hAnsi="Palatino Linotype"/>
                <w:color w:val="000000"/>
                <w:sz w:val="20"/>
                <w:szCs w:val="20"/>
              </w:rPr>
              <w:t>Growth</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.238</w:t>
            </w:r>
          </w:p>
        </w:tc>
        <w:tc>
          <w:tcPr>
            <w:tcW w:w="1134" w:type="dxa"/>
            <w:tcBorders>
              <w:top w:val="nil"/>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.048</w:t>
            </w:r>
          </w:p>
        </w:tc>
        <w:tc>
          <w:tcPr>
            <w:tcW w:w="1275" w:type="dxa"/>
            <w:tcBorders>
              <w:top w:val="nil"/>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.325</w:t>
            </w:r>
          </w:p>
        </w:tc>
        <w:tc>
          <w:tcPr>
            <w:tcW w:w="993" w:type="dxa"/>
            <w:tcBorders>
              <w:top w:val="nil"/>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5.007</w:t>
            </w:r>
          </w:p>
        </w:tc>
        <w:tc>
          <w:tcPr>
            <w:tcW w:w="992" w:type="dxa"/>
            <w:tcBorders>
              <w:top w:val="nil"/>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.000</w:t>
            </w:r>
          </w:p>
        </w:tc>
      </w:tr>
      <w:tr w:rsidR="0068275D" w:rsidRPr="0068275D" w:rsidTr="00324DF1">
        <w:tblPrEx>
          <w:tblCellMar>
            <w:top w:w="0" w:type="dxa"/>
            <w:bottom w:w="0" w:type="dxa"/>
          </w:tblCellMar>
        </w:tblPrEx>
        <w:trPr>
          <w:cantSplit/>
          <w:tblHeader/>
        </w:trPr>
        <w:tc>
          <w:tcPr>
            <w:tcW w:w="426"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p>
        </w:tc>
        <w:tc>
          <w:tcPr>
            <w:tcW w:w="2268" w:type="dxa"/>
            <w:tcBorders>
              <w:top w:val="nil"/>
              <w:left w:val="nil"/>
              <w:bottom w:val="nil"/>
              <w:right w:val="single" w:sz="16" w:space="0" w:color="000000"/>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lang w:val="en-US"/>
              </w:rPr>
            </w:pPr>
            <w:r w:rsidRPr="0068275D">
              <w:rPr>
                <w:rFonts w:ascii="Palatino Linotype" w:hAnsi="Palatino Linotype"/>
                <w:color w:val="000000"/>
                <w:sz w:val="20"/>
                <w:szCs w:val="20"/>
                <w:lang w:val="en-US"/>
              </w:rPr>
              <w:t>Capital Structure</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-.304</w:t>
            </w:r>
          </w:p>
        </w:tc>
        <w:tc>
          <w:tcPr>
            <w:tcW w:w="1134" w:type="dxa"/>
            <w:tcBorders>
              <w:top w:val="nil"/>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.147</w:t>
            </w:r>
          </w:p>
        </w:tc>
        <w:tc>
          <w:tcPr>
            <w:tcW w:w="1275" w:type="dxa"/>
            <w:tcBorders>
              <w:top w:val="nil"/>
              <w:bottom w:val="nil"/>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-.133</w:t>
            </w:r>
          </w:p>
        </w:tc>
        <w:tc>
          <w:tcPr>
            <w:tcW w:w="993" w:type="dxa"/>
            <w:tcBorders>
              <w:top w:val="nil"/>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-2.073</w:t>
            </w:r>
          </w:p>
        </w:tc>
        <w:tc>
          <w:tcPr>
            <w:tcW w:w="992" w:type="dxa"/>
            <w:tcBorders>
              <w:top w:val="nil"/>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.039</w:t>
            </w:r>
          </w:p>
        </w:tc>
      </w:tr>
      <w:tr w:rsidR="0068275D" w:rsidRPr="0068275D" w:rsidTr="00324DF1">
        <w:tblPrEx>
          <w:tblCellMar>
            <w:top w:w="0" w:type="dxa"/>
            <w:bottom w:w="0" w:type="dxa"/>
          </w:tblCellMar>
        </w:tblPrEx>
        <w:trPr>
          <w:cantSplit/>
          <w:tblHeader/>
        </w:trPr>
        <w:tc>
          <w:tcPr>
            <w:tcW w:w="426" w:type="dxa"/>
            <w:vMerge/>
            <w:tcBorders>
              <w:top w:val="single" w:sz="16"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p>
        </w:tc>
        <w:tc>
          <w:tcPr>
            <w:tcW w:w="2268"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color w:val="000000"/>
                <w:sz w:val="20"/>
                <w:szCs w:val="20"/>
              </w:rPr>
            </w:pPr>
            <w:r w:rsidRPr="0068275D">
              <w:rPr>
                <w:rFonts w:ascii="Palatino Linotype" w:hAnsi="Palatino Linotype"/>
                <w:color w:val="000000"/>
                <w:sz w:val="20"/>
                <w:szCs w:val="20"/>
              </w:rPr>
              <w:t>Insider Ownership</w:t>
            </w:r>
          </w:p>
        </w:tc>
        <w:tc>
          <w:tcPr>
            <w:tcW w:w="1134"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.048</w:t>
            </w:r>
          </w:p>
        </w:tc>
        <w:tc>
          <w:tcPr>
            <w:tcW w:w="1134" w:type="dxa"/>
            <w:tcBorders>
              <w:top w:val="nil"/>
              <w:bottom w:val="single" w:sz="18"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.079</w:t>
            </w:r>
          </w:p>
        </w:tc>
        <w:tc>
          <w:tcPr>
            <w:tcW w:w="1275" w:type="dxa"/>
            <w:tcBorders>
              <w:top w:val="nil"/>
              <w:bottom w:val="single" w:sz="18"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.039</w:t>
            </w:r>
          </w:p>
        </w:tc>
        <w:tc>
          <w:tcPr>
            <w:tcW w:w="993" w:type="dxa"/>
            <w:tcBorders>
              <w:top w:val="nil"/>
              <w:bottom w:val="single" w:sz="18" w:space="0" w:color="000000"/>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.613</w:t>
            </w:r>
          </w:p>
        </w:tc>
        <w:tc>
          <w:tcPr>
            <w:tcW w:w="992" w:type="dxa"/>
            <w:tcBorders>
              <w:top w:val="nil"/>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center"/>
          </w:tcPr>
          <w:p w:rsidR="0068275D" w:rsidRPr="0068275D" w:rsidRDefault="0068275D" w:rsidP="0068275D">
            <w:pPr>
              <w:autoSpaceDE w:val="0"/>
              <w:autoSpaceDN w:val="0"/>
              <w:adjustRightInd w:val="0"/>
              <w:spacing w:after="0" w:line="240" w:lineRule="auto"/>
              <w:jc w:val="right"/>
              <w:rPr>
                <w:rFonts w:ascii="Palatino Linotype" w:hAnsi="Palatino Linotype"/>
                <w:color w:val="000000"/>
                <w:sz w:val="20"/>
                <w:szCs w:val="20"/>
              </w:rPr>
            </w:pPr>
            <w:r w:rsidRPr="0068275D">
              <w:rPr>
                <w:rFonts w:ascii="Palatino Linotype" w:hAnsi="Palatino Linotype"/>
                <w:color w:val="000000"/>
                <w:sz w:val="20"/>
                <w:szCs w:val="20"/>
              </w:rPr>
              <w:t>.541</w:t>
            </w:r>
          </w:p>
        </w:tc>
      </w:tr>
      <w:tr w:rsidR="0068275D" w:rsidRPr="0068275D" w:rsidTr="00324DF1">
        <w:tblPrEx>
          <w:tblCellMar>
            <w:top w:w="0" w:type="dxa"/>
            <w:bottom w:w="0" w:type="dxa"/>
          </w:tblCellMar>
        </w:tblPrEx>
        <w:trPr>
          <w:cantSplit/>
        </w:trPr>
        <w:tc>
          <w:tcPr>
            <w:tcW w:w="8222" w:type="dxa"/>
            <w:gridSpan w:val="7"/>
            <w:tcBorders>
              <w:top w:val="single" w:sz="18" w:space="0" w:color="000000"/>
              <w:left w:val="nil"/>
              <w:bottom w:val="nil"/>
              <w:right w:val="nil"/>
            </w:tcBorders>
            <w:shd w:val="clear" w:color="auto" w:fill="FFFFFF"/>
            <w:tcMar>
              <w:top w:w="30" w:type="dxa"/>
              <w:left w:w="30" w:type="dxa"/>
              <w:bottom w:w="30" w:type="dxa"/>
              <w:right w:w="30" w:type="dxa"/>
            </w:tcMar>
          </w:tcPr>
          <w:p w:rsidR="0068275D" w:rsidRPr="0068275D" w:rsidRDefault="0068275D" w:rsidP="0068275D">
            <w:pPr>
              <w:autoSpaceDE w:val="0"/>
              <w:autoSpaceDN w:val="0"/>
              <w:adjustRightInd w:val="0"/>
              <w:spacing w:after="0" w:line="240" w:lineRule="auto"/>
              <w:rPr>
                <w:rFonts w:ascii="Palatino Linotype" w:hAnsi="Palatino Linotype"/>
                <w:sz w:val="20"/>
                <w:szCs w:val="20"/>
                <w:lang w:val="en-US"/>
              </w:rPr>
            </w:pPr>
            <w:r w:rsidRPr="0068275D">
              <w:rPr>
                <w:rFonts w:ascii="Palatino Linotype" w:hAnsi="Palatino Linotype"/>
                <w:color w:val="000000"/>
                <w:sz w:val="20"/>
                <w:szCs w:val="20"/>
              </w:rPr>
              <w:t xml:space="preserve">a. Dependent Variable: </w:t>
            </w:r>
            <w:r w:rsidRPr="0068275D">
              <w:rPr>
                <w:rFonts w:ascii="Palatino Linotype" w:hAnsi="Palatino Linotype"/>
                <w:color w:val="000000"/>
                <w:sz w:val="20"/>
                <w:szCs w:val="20"/>
                <w:lang w:val="en-US"/>
              </w:rPr>
              <w:t>Financial Performance</w:t>
            </w:r>
          </w:p>
        </w:tc>
      </w:tr>
    </w:tbl>
    <w:p w:rsidR="00077E67" w:rsidRPr="0068275D" w:rsidRDefault="0068275D">
      <w:pPr>
        <w:spacing w:after="0" w:line="240" w:lineRule="auto"/>
        <w:jc w:val="both"/>
        <w:rPr>
          <w:rFonts w:ascii="Palatino Linotype" w:hAnsi="Palatino Linotype" w:cstheme="minorHAnsi"/>
          <w:sz w:val="20"/>
          <w:szCs w:val="20"/>
          <w:lang w:val="en-US"/>
        </w:rPr>
      </w:pPr>
      <w:r w:rsidRPr="0068275D">
        <w:rPr>
          <w:rFonts w:ascii="Palatino Linotype" w:hAnsi="Palatino Linotype"/>
          <w:sz w:val="20"/>
          <w:szCs w:val="20"/>
          <w:lang w:val="en"/>
        </w:rPr>
        <w:t>Source: Data SPSS Version 16.0</w:t>
      </w:r>
    </w:p>
    <w:p w:rsidR="00077E67" w:rsidRPr="00C152E9" w:rsidRDefault="00077E67" w:rsidP="00C152E9">
      <w:pPr>
        <w:spacing w:after="0" w:line="240" w:lineRule="auto"/>
        <w:jc w:val="both"/>
        <w:rPr>
          <w:rFonts w:ascii="Palatino Linotype" w:hAnsi="Palatino Linotype" w:cstheme="minorHAnsi"/>
          <w:sz w:val="20"/>
          <w:szCs w:val="20"/>
          <w:lang w:val="en-US"/>
        </w:rPr>
      </w:pPr>
    </w:p>
    <w:p w:rsidR="008E5DA7" w:rsidRPr="00C152E9" w:rsidRDefault="000E2138" w:rsidP="00C152E9">
      <w:pPr>
        <w:spacing w:after="0" w:line="240" w:lineRule="auto"/>
        <w:jc w:val="both"/>
        <w:rPr>
          <w:rFonts w:ascii="Palatino Linotype" w:hAnsi="Palatino Linotype"/>
          <w:b/>
          <w:sz w:val="20"/>
          <w:szCs w:val="20"/>
          <w:lang w:val="en"/>
        </w:rPr>
      </w:pPr>
      <w:r w:rsidRPr="00C152E9">
        <w:rPr>
          <w:rFonts w:ascii="Palatino Linotype" w:hAnsi="Palatino Linotype"/>
          <w:b/>
          <w:sz w:val="20"/>
          <w:szCs w:val="20"/>
          <w:lang w:val="en"/>
        </w:rPr>
        <w:t>The Effect</w:t>
      </w:r>
      <w:r w:rsidR="009359EC" w:rsidRPr="00C152E9">
        <w:rPr>
          <w:rFonts w:ascii="Palatino Linotype" w:hAnsi="Palatino Linotype"/>
          <w:b/>
          <w:sz w:val="20"/>
          <w:szCs w:val="20"/>
          <w:lang w:val="en"/>
        </w:rPr>
        <w:t xml:space="preserve"> of Corporat</w:t>
      </w:r>
      <w:r w:rsidR="008E5DA7" w:rsidRPr="00C152E9">
        <w:rPr>
          <w:rFonts w:ascii="Palatino Linotype" w:hAnsi="Palatino Linotype"/>
          <w:b/>
          <w:sz w:val="20"/>
          <w:szCs w:val="20"/>
          <w:lang w:val="en"/>
        </w:rPr>
        <w:t>e Size on Financial Performance</w:t>
      </w:r>
    </w:p>
    <w:p w:rsidR="008E5DA7" w:rsidRPr="00C152E9" w:rsidRDefault="008E5DA7" w:rsidP="00C152E9">
      <w:pPr>
        <w:spacing w:after="0" w:line="240" w:lineRule="auto"/>
        <w:jc w:val="both"/>
        <w:rPr>
          <w:rFonts w:ascii="Palatino Linotype" w:hAnsi="Palatino Linotype"/>
          <w:sz w:val="20"/>
          <w:szCs w:val="20"/>
          <w:lang w:val="en"/>
        </w:rPr>
      </w:pPr>
      <w:r w:rsidRPr="00C152E9">
        <w:rPr>
          <w:rFonts w:ascii="Palatino Linotype" w:hAnsi="Palatino Linotype"/>
          <w:sz w:val="20"/>
          <w:szCs w:val="20"/>
          <w:lang w:val="en"/>
        </w:rPr>
        <w:t xml:space="preserve">        T</w:t>
      </w:r>
      <w:r w:rsidR="009359EC" w:rsidRPr="00C152E9">
        <w:rPr>
          <w:rFonts w:ascii="Palatino Linotype" w:hAnsi="Palatino Linotype"/>
          <w:sz w:val="20"/>
          <w:szCs w:val="20"/>
          <w:lang w:val="en"/>
        </w:rPr>
        <w:t>he results of hypothesis testing for firm size with a significance value of 0.875 or greater than 0.05, it can be concluded that the size of the company negatively affect the financial performance of manufacturing companies in BEI Year 2009-2011. This means that the size or magnitude of a company rated from the total asset log does not guarantee the good financial performance of the company. From the phenomenon of the financial crisis that occurred, it can be concluded that the size of the company does not affect the financial performance generated by the company. So the assumption that the company with a larger size is considered more able to face the crisis in running its business can not be proved in the results of</w:t>
      </w:r>
      <w:r w:rsidRPr="00C152E9">
        <w:rPr>
          <w:rFonts w:ascii="Palatino Linotype" w:hAnsi="Palatino Linotype"/>
          <w:sz w:val="20"/>
          <w:szCs w:val="20"/>
          <w:lang w:val="en"/>
        </w:rPr>
        <w:t xml:space="preserve"> this study.</w:t>
      </w:r>
    </w:p>
    <w:p w:rsidR="008E5DA7" w:rsidRPr="00C152E9" w:rsidRDefault="009359EC" w:rsidP="00C152E9">
      <w:pPr>
        <w:spacing w:after="0" w:line="240" w:lineRule="auto"/>
        <w:jc w:val="both"/>
        <w:rPr>
          <w:rFonts w:ascii="Palatino Linotype" w:hAnsi="Palatino Linotype"/>
          <w:sz w:val="20"/>
          <w:szCs w:val="20"/>
          <w:lang w:val="en"/>
        </w:rPr>
      </w:pPr>
      <w:r w:rsidRPr="00C152E9">
        <w:rPr>
          <w:rFonts w:ascii="Palatino Linotype" w:hAnsi="Palatino Linotype"/>
          <w:sz w:val="20"/>
          <w:szCs w:val="20"/>
          <w:lang w:val="en"/>
        </w:rPr>
        <w:lastRenderedPageBreak/>
        <w:br/>
      </w:r>
      <w:r w:rsidR="008E5DA7"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Based on Positive Accounting Theory (PAT) Christie (1990) concluded firm size is a reflection of positive accounting theory application, where Firm Size is characteristic of a company, the amount of each asset owned by the company can vary between big company and small company. Rejection of this hypothesis is likely due to the size of the total assets as the size of the company has not given confidence to investors about the company's ability to manage the investments provided, so the size of the company does not affect </w:t>
      </w:r>
      <w:r w:rsidR="008E5DA7" w:rsidRPr="00C152E9">
        <w:rPr>
          <w:rFonts w:ascii="Palatino Linotype" w:hAnsi="Palatino Linotype"/>
          <w:sz w:val="20"/>
          <w:szCs w:val="20"/>
          <w:lang w:val="en"/>
        </w:rPr>
        <w:t>the performance of the company.</w:t>
      </w:r>
    </w:p>
    <w:p w:rsidR="00077E67" w:rsidRPr="00C152E9" w:rsidRDefault="009359EC" w:rsidP="00C152E9">
      <w:pPr>
        <w:spacing w:after="0" w:line="240" w:lineRule="auto"/>
        <w:jc w:val="both"/>
        <w:rPr>
          <w:rFonts w:ascii="Palatino Linotype" w:hAnsi="Palatino Linotype"/>
          <w:sz w:val="20"/>
          <w:szCs w:val="20"/>
          <w:lang w:val="en"/>
        </w:rPr>
      </w:pPr>
      <w:r w:rsidRPr="00C152E9">
        <w:rPr>
          <w:rFonts w:ascii="Palatino Linotype" w:hAnsi="Palatino Linotype"/>
          <w:sz w:val="20"/>
          <w:szCs w:val="20"/>
          <w:lang w:val="en"/>
        </w:rPr>
        <w:br/>
      </w:r>
      <w:r w:rsidR="008E5DA7"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These findings support research conducted by </w:t>
      </w:r>
      <w:proofErr w:type="spellStart"/>
      <w:r w:rsidRPr="00C152E9">
        <w:rPr>
          <w:rFonts w:ascii="Palatino Linotype" w:hAnsi="Palatino Linotype"/>
          <w:sz w:val="20"/>
          <w:szCs w:val="20"/>
          <w:lang w:val="en"/>
        </w:rPr>
        <w:t>Khaira</w:t>
      </w:r>
      <w:proofErr w:type="spellEnd"/>
      <w:r w:rsidRPr="00C152E9">
        <w:rPr>
          <w:rFonts w:ascii="Palatino Linotype" w:hAnsi="Palatino Linotype"/>
          <w:sz w:val="20"/>
          <w:szCs w:val="20"/>
          <w:lang w:val="en"/>
        </w:rPr>
        <w:t xml:space="preserve"> </w:t>
      </w:r>
      <w:proofErr w:type="spellStart"/>
      <w:r w:rsidRPr="00C152E9">
        <w:rPr>
          <w:rFonts w:ascii="Palatino Linotype" w:hAnsi="Palatino Linotype"/>
          <w:sz w:val="20"/>
          <w:szCs w:val="20"/>
          <w:lang w:val="en"/>
        </w:rPr>
        <w:t>amalia</w:t>
      </w:r>
      <w:proofErr w:type="spellEnd"/>
      <w:r w:rsidRPr="00C152E9">
        <w:rPr>
          <w:rFonts w:ascii="Palatino Linotype" w:hAnsi="Palatino Linotype"/>
          <w:sz w:val="20"/>
          <w:szCs w:val="20"/>
          <w:lang w:val="en"/>
        </w:rPr>
        <w:t xml:space="preserve"> (2011), from the results of his research also proves the size of the company assessed from the log of total assets has no effect on the performance of basic and chemical industry companies. These findings also support research conducted by </w:t>
      </w:r>
      <w:proofErr w:type="spellStart"/>
      <w:r w:rsidRPr="00C152E9">
        <w:rPr>
          <w:rFonts w:ascii="Palatino Linotype" w:hAnsi="Palatino Linotype"/>
          <w:sz w:val="20"/>
          <w:szCs w:val="20"/>
          <w:lang w:val="en"/>
        </w:rPr>
        <w:t>Bala</w:t>
      </w:r>
      <w:proofErr w:type="spellEnd"/>
      <w:r w:rsidRPr="00C152E9">
        <w:rPr>
          <w:rFonts w:ascii="Palatino Linotype" w:hAnsi="Palatino Linotype"/>
          <w:sz w:val="20"/>
          <w:szCs w:val="20"/>
          <w:lang w:val="en"/>
        </w:rPr>
        <w:t xml:space="preserve"> </w:t>
      </w:r>
      <w:proofErr w:type="spellStart"/>
      <w:r w:rsidRPr="00C152E9">
        <w:rPr>
          <w:rFonts w:ascii="Palatino Linotype" w:hAnsi="Palatino Linotype"/>
          <w:sz w:val="20"/>
          <w:szCs w:val="20"/>
          <w:lang w:val="en"/>
        </w:rPr>
        <w:t>Ramasamy</w:t>
      </w:r>
      <w:proofErr w:type="spellEnd"/>
      <w:r w:rsidRPr="00C152E9">
        <w:rPr>
          <w:rFonts w:ascii="Palatino Linotype" w:hAnsi="Palatino Linotype"/>
          <w:sz w:val="20"/>
          <w:szCs w:val="20"/>
          <w:lang w:val="en"/>
        </w:rPr>
        <w:t xml:space="preserve">, Darryl </w:t>
      </w:r>
      <w:proofErr w:type="spellStart"/>
      <w:r w:rsidRPr="00C152E9">
        <w:rPr>
          <w:rFonts w:ascii="Palatino Linotype" w:hAnsi="Palatino Linotype"/>
          <w:sz w:val="20"/>
          <w:szCs w:val="20"/>
          <w:lang w:val="en"/>
        </w:rPr>
        <w:t>Ong</w:t>
      </w:r>
      <w:proofErr w:type="spellEnd"/>
      <w:r w:rsidRPr="00C152E9">
        <w:rPr>
          <w:rFonts w:ascii="Palatino Linotype" w:hAnsi="Palatino Linotype"/>
          <w:sz w:val="20"/>
          <w:szCs w:val="20"/>
          <w:lang w:val="en"/>
        </w:rPr>
        <w:t xml:space="preserve"> and Matthew C. H. </w:t>
      </w:r>
      <w:proofErr w:type="spellStart"/>
      <w:r w:rsidRPr="00C152E9">
        <w:rPr>
          <w:rFonts w:ascii="Palatino Linotype" w:hAnsi="Palatino Linotype"/>
          <w:sz w:val="20"/>
          <w:szCs w:val="20"/>
          <w:lang w:val="en"/>
        </w:rPr>
        <w:t>Yeung</w:t>
      </w:r>
      <w:proofErr w:type="spellEnd"/>
      <w:r w:rsidRPr="00C152E9">
        <w:rPr>
          <w:rFonts w:ascii="Palatino Linotype" w:hAnsi="Palatino Linotype"/>
          <w:sz w:val="20"/>
          <w:szCs w:val="20"/>
          <w:lang w:val="en"/>
        </w:rPr>
        <w:t xml:space="preserve"> (2005) the results of his research also proved that there is no significant influence between the </w:t>
      </w:r>
      <w:proofErr w:type="gramStart"/>
      <w:r w:rsidRPr="00C152E9">
        <w:rPr>
          <w:rFonts w:ascii="Palatino Linotype" w:hAnsi="Palatino Linotype"/>
          <w:sz w:val="20"/>
          <w:szCs w:val="20"/>
          <w:lang w:val="en"/>
        </w:rPr>
        <w:t>size</w:t>
      </w:r>
      <w:proofErr w:type="gramEnd"/>
      <w:r w:rsidRPr="00C152E9">
        <w:rPr>
          <w:rFonts w:ascii="Palatino Linotype" w:hAnsi="Palatino Linotype"/>
          <w:sz w:val="20"/>
          <w:szCs w:val="20"/>
          <w:lang w:val="en"/>
        </w:rPr>
        <w:t xml:space="preserve"> of the company with the financial performance of companies engaged in palm oil.</w:t>
      </w:r>
    </w:p>
    <w:p w:rsidR="008E5DA7" w:rsidRPr="00C152E9" w:rsidRDefault="008E5DA7" w:rsidP="00C152E9">
      <w:pPr>
        <w:spacing w:after="0" w:line="240" w:lineRule="auto"/>
        <w:jc w:val="both"/>
        <w:rPr>
          <w:rFonts w:ascii="Palatino Linotype" w:hAnsi="Palatino Linotype" w:cstheme="minorHAnsi"/>
          <w:sz w:val="20"/>
          <w:szCs w:val="20"/>
          <w:lang w:val="en-US"/>
        </w:rPr>
      </w:pPr>
    </w:p>
    <w:p w:rsidR="003360B3" w:rsidRPr="00C152E9" w:rsidRDefault="003360B3" w:rsidP="00C152E9">
      <w:pPr>
        <w:spacing w:after="0" w:line="240" w:lineRule="auto"/>
        <w:jc w:val="both"/>
        <w:rPr>
          <w:rFonts w:ascii="Palatino Linotype" w:hAnsi="Palatino Linotype"/>
          <w:b/>
          <w:sz w:val="20"/>
          <w:szCs w:val="20"/>
          <w:lang w:val="en"/>
        </w:rPr>
      </w:pPr>
      <w:r w:rsidRPr="00C152E9">
        <w:rPr>
          <w:rFonts w:ascii="Palatino Linotype" w:hAnsi="Palatino Linotype"/>
          <w:b/>
          <w:sz w:val="20"/>
          <w:szCs w:val="20"/>
          <w:lang w:val="en"/>
        </w:rPr>
        <w:t>The Effect of G</w:t>
      </w:r>
      <w:r w:rsidRPr="00C152E9">
        <w:rPr>
          <w:rFonts w:ascii="Palatino Linotype" w:hAnsi="Palatino Linotype"/>
          <w:b/>
          <w:sz w:val="20"/>
          <w:szCs w:val="20"/>
          <w:lang w:val="en"/>
        </w:rPr>
        <w:t>rowth on Financial Performance</w:t>
      </w:r>
    </w:p>
    <w:p w:rsidR="00C152E9" w:rsidRDefault="003360B3" w:rsidP="00C152E9">
      <w:pPr>
        <w:spacing w:after="0" w:line="240" w:lineRule="auto"/>
        <w:jc w:val="both"/>
        <w:rPr>
          <w:rFonts w:ascii="Palatino Linotype" w:hAnsi="Palatino Linotype"/>
          <w:sz w:val="20"/>
          <w:szCs w:val="20"/>
          <w:lang w:val="en"/>
        </w:rPr>
      </w:pPr>
      <w:r w:rsidRPr="00C152E9">
        <w:rPr>
          <w:rFonts w:ascii="Palatino Linotype" w:hAnsi="Palatino Linotype"/>
          <w:sz w:val="20"/>
          <w:szCs w:val="20"/>
          <w:lang w:val="en"/>
        </w:rPr>
        <w:t xml:space="preserve">        T</w:t>
      </w:r>
      <w:r w:rsidRPr="00C152E9">
        <w:rPr>
          <w:rFonts w:ascii="Palatino Linotype" w:hAnsi="Palatino Linotype"/>
          <w:sz w:val="20"/>
          <w:szCs w:val="20"/>
          <w:lang w:val="en"/>
        </w:rPr>
        <w:t xml:space="preserve">he results of hypothesis testing with </w:t>
      </w:r>
      <w:proofErr w:type="gramStart"/>
      <w:r w:rsidRPr="00C152E9">
        <w:rPr>
          <w:rFonts w:ascii="Palatino Linotype" w:hAnsi="Palatino Linotype"/>
          <w:sz w:val="20"/>
          <w:szCs w:val="20"/>
          <w:lang w:val="en"/>
        </w:rPr>
        <w:t>a significance</w:t>
      </w:r>
      <w:proofErr w:type="gramEnd"/>
      <w:r w:rsidRPr="00C152E9">
        <w:rPr>
          <w:rFonts w:ascii="Palatino Linotype" w:hAnsi="Palatino Linotype"/>
          <w:sz w:val="20"/>
          <w:szCs w:val="20"/>
          <w:lang w:val="en"/>
        </w:rPr>
        <w:t xml:space="preserve"> value of 0.000 or smaller than 0.05, it can be concluded that the results of testing the second hypothesis obtained that the growth has a positive and significant impact on financial performance at manufacturing companies in BEI Year 2009-2011. The growth of asset / growth in this study </w:t>
      </w:r>
      <w:proofErr w:type="gramStart"/>
      <w:r w:rsidRPr="00C152E9">
        <w:rPr>
          <w:rFonts w:ascii="Palatino Linotype" w:hAnsi="Palatino Linotype"/>
          <w:sz w:val="20"/>
          <w:szCs w:val="20"/>
          <w:lang w:val="en"/>
        </w:rPr>
        <w:t>was</w:t>
      </w:r>
      <w:proofErr w:type="gramEnd"/>
      <w:r w:rsidRPr="00C152E9">
        <w:rPr>
          <w:rFonts w:ascii="Palatino Linotype" w:hAnsi="Palatino Linotype"/>
          <w:sz w:val="20"/>
          <w:szCs w:val="20"/>
          <w:lang w:val="en"/>
        </w:rPr>
        <w:t xml:space="preserve"> measured using the proportion of increase and decrease in total assets of the company. Test results that have a positive direction mean that an increase in corporate growth as measured through asset growth will improve financial performance significantly. So it can be concluded that the growth of asset / growth affect the financial performance of the company after the financial crisis. Corporate growth is expected by both internal and external companies, as good growth signals the growth of the company. From the investor's point of view, the growth of an enterprise is a sign that the </w:t>
      </w:r>
      <w:r w:rsidR="00C152E9">
        <w:rPr>
          <w:rFonts w:ascii="Palatino Linotype" w:hAnsi="Palatino Linotype"/>
          <w:sz w:val="20"/>
          <w:szCs w:val="20"/>
          <w:lang w:val="en"/>
        </w:rPr>
        <w:t>company has a favorable aspect.</w:t>
      </w:r>
    </w:p>
    <w:p w:rsidR="003360B3" w:rsidRPr="00C152E9" w:rsidRDefault="003360B3" w:rsidP="00C152E9">
      <w:pPr>
        <w:spacing w:after="0" w:line="240" w:lineRule="auto"/>
        <w:jc w:val="both"/>
        <w:rPr>
          <w:rFonts w:ascii="Palatino Linotype" w:hAnsi="Palatino Linotype" w:cstheme="minorHAnsi"/>
          <w:sz w:val="20"/>
          <w:szCs w:val="20"/>
          <w:lang w:val="en-US"/>
        </w:rPr>
      </w:pPr>
      <w:r w:rsidRPr="00C152E9">
        <w:rPr>
          <w:rFonts w:ascii="Palatino Linotype" w:hAnsi="Palatino Linotype"/>
          <w:sz w:val="20"/>
          <w:szCs w:val="20"/>
          <w:lang w:val="en"/>
        </w:rPr>
        <w:br/>
      </w:r>
      <w:r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These findings support the study of </w:t>
      </w:r>
      <w:proofErr w:type="spellStart"/>
      <w:r w:rsidRPr="00C152E9">
        <w:rPr>
          <w:rFonts w:ascii="Palatino Linotype" w:hAnsi="Palatino Linotype"/>
          <w:sz w:val="20"/>
          <w:szCs w:val="20"/>
          <w:lang w:val="en"/>
        </w:rPr>
        <w:t>Dewa</w:t>
      </w:r>
      <w:proofErr w:type="spellEnd"/>
      <w:r w:rsidRPr="00C152E9">
        <w:rPr>
          <w:rFonts w:ascii="Palatino Linotype" w:hAnsi="Palatino Linotype"/>
          <w:sz w:val="20"/>
          <w:szCs w:val="20"/>
          <w:lang w:val="en"/>
        </w:rPr>
        <w:t xml:space="preserve"> </w:t>
      </w:r>
      <w:proofErr w:type="spellStart"/>
      <w:r w:rsidRPr="00C152E9">
        <w:rPr>
          <w:rFonts w:ascii="Palatino Linotype" w:hAnsi="Palatino Linotype"/>
          <w:sz w:val="20"/>
          <w:szCs w:val="20"/>
          <w:lang w:val="en"/>
        </w:rPr>
        <w:t>Kadek</w:t>
      </w:r>
      <w:proofErr w:type="spellEnd"/>
      <w:r w:rsidRPr="00C152E9">
        <w:rPr>
          <w:rFonts w:ascii="Palatino Linotype" w:hAnsi="Palatino Linotype"/>
          <w:sz w:val="20"/>
          <w:szCs w:val="20"/>
          <w:lang w:val="en"/>
        </w:rPr>
        <w:t xml:space="preserve"> (2011) found evidence that partially growth has a positive and significant impact on the company's financial performance. This means that the company's growth assessed by the growth of its assets has a significant effect on the company's financial performance. The results of this study are not consistent with the results of research conducted </w:t>
      </w:r>
      <w:proofErr w:type="spellStart"/>
      <w:r w:rsidRPr="00C152E9">
        <w:rPr>
          <w:rFonts w:ascii="Palatino Linotype" w:hAnsi="Palatino Linotype"/>
          <w:sz w:val="20"/>
          <w:szCs w:val="20"/>
          <w:lang w:val="en"/>
        </w:rPr>
        <w:t>Safrida</w:t>
      </w:r>
      <w:proofErr w:type="spellEnd"/>
      <w:r w:rsidRPr="00C152E9">
        <w:rPr>
          <w:rFonts w:ascii="Palatino Linotype" w:hAnsi="Palatino Linotype"/>
          <w:sz w:val="20"/>
          <w:szCs w:val="20"/>
          <w:lang w:val="en"/>
        </w:rPr>
        <w:t>, Eli (2008) who found that growth has a negative and insignificant effect on company performance.</w:t>
      </w:r>
    </w:p>
    <w:p w:rsidR="00DB4BE2" w:rsidRPr="00C152E9" w:rsidRDefault="00DB4BE2" w:rsidP="00C152E9">
      <w:pPr>
        <w:spacing w:after="0" w:line="240" w:lineRule="auto"/>
        <w:jc w:val="both"/>
        <w:rPr>
          <w:rFonts w:ascii="Palatino Linotype" w:hAnsi="Palatino Linotype" w:cstheme="minorHAnsi"/>
          <w:sz w:val="20"/>
          <w:szCs w:val="20"/>
          <w:lang w:val="en-US"/>
        </w:rPr>
      </w:pPr>
    </w:p>
    <w:p w:rsidR="00DB4BE2" w:rsidRPr="00C152E9" w:rsidRDefault="00DB4BE2" w:rsidP="00C152E9">
      <w:pPr>
        <w:spacing w:after="0" w:line="240" w:lineRule="auto"/>
        <w:jc w:val="both"/>
        <w:rPr>
          <w:rFonts w:ascii="Palatino Linotype" w:hAnsi="Palatino Linotype"/>
          <w:sz w:val="20"/>
          <w:szCs w:val="20"/>
          <w:lang w:val="en"/>
        </w:rPr>
      </w:pPr>
      <w:r w:rsidRPr="00C152E9">
        <w:rPr>
          <w:rFonts w:ascii="Palatino Linotype" w:hAnsi="Palatino Linotype"/>
          <w:b/>
          <w:sz w:val="20"/>
          <w:szCs w:val="20"/>
          <w:lang w:val="en"/>
        </w:rPr>
        <w:t xml:space="preserve">The </w:t>
      </w:r>
      <w:r w:rsidRPr="00C152E9">
        <w:rPr>
          <w:rFonts w:ascii="Palatino Linotype" w:hAnsi="Palatino Linotype"/>
          <w:b/>
          <w:sz w:val="20"/>
          <w:szCs w:val="20"/>
          <w:lang w:val="en"/>
        </w:rPr>
        <w:t>Effect of Capital Structure on Financial Performance</w:t>
      </w:r>
    </w:p>
    <w:p w:rsidR="00DB4BE2" w:rsidRPr="00C152E9" w:rsidRDefault="00DB4BE2" w:rsidP="00C152E9">
      <w:pPr>
        <w:spacing w:after="0" w:line="240" w:lineRule="auto"/>
        <w:jc w:val="both"/>
        <w:rPr>
          <w:rFonts w:ascii="Palatino Linotype" w:hAnsi="Palatino Linotype"/>
          <w:sz w:val="20"/>
          <w:szCs w:val="20"/>
          <w:lang w:val="en"/>
        </w:rPr>
      </w:pPr>
      <w:r w:rsidRPr="00C152E9">
        <w:rPr>
          <w:rFonts w:ascii="Palatino Linotype" w:hAnsi="Palatino Linotype"/>
          <w:sz w:val="20"/>
          <w:szCs w:val="20"/>
          <w:lang w:val="en"/>
        </w:rPr>
        <w:t xml:space="preserve">        T</w:t>
      </w:r>
      <w:r w:rsidRPr="00C152E9">
        <w:rPr>
          <w:rFonts w:ascii="Palatino Linotype" w:hAnsi="Palatino Linotype"/>
          <w:sz w:val="20"/>
          <w:szCs w:val="20"/>
          <w:lang w:val="en"/>
        </w:rPr>
        <w:t xml:space="preserve">he results of hypothesis testing with </w:t>
      </w:r>
      <w:proofErr w:type="gramStart"/>
      <w:r w:rsidRPr="00C152E9">
        <w:rPr>
          <w:rFonts w:ascii="Palatino Linotype" w:hAnsi="Palatino Linotype"/>
          <w:sz w:val="20"/>
          <w:szCs w:val="20"/>
          <w:lang w:val="en"/>
        </w:rPr>
        <w:t>a significance</w:t>
      </w:r>
      <w:proofErr w:type="gramEnd"/>
      <w:r w:rsidRPr="00C152E9">
        <w:rPr>
          <w:rFonts w:ascii="Palatino Linotype" w:hAnsi="Palatino Linotype"/>
          <w:sz w:val="20"/>
          <w:szCs w:val="20"/>
          <w:lang w:val="en"/>
        </w:rPr>
        <w:t xml:space="preserve"> value of 0.039 or smaller than 0.05, it can be concluded that the results of testing the third hypothesis obtained that the capital structure has a positive effect on financial performance on manufacturing companies in BEI Year 2009-2011.</w:t>
      </w:r>
      <w:r w:rsidRPr="00C152E9">
        <w:rPr>
          <w:rFonts w:ascii="Palatino Linotype" w:hAnsi="Palatino Linotype"/>
          <w:sz w:val="20"/>
          <w:szCs w:val="20"/>
          <w:lang w:val="en"/>
        </w:rPr>
        <w:br/>
      </w:r>
      <w:r w:rsidRPr="00C152E9">
        <w:rPr>
          <w:rFonts w:ascii="Palatino Linotype" w:hAnsi="Palatino Linotype"/>
          <w:sz w:val="20"/>
          <w:szCs w:val="20"/>
          <w:lang w:val="en"/>
        </w:rPr>
        <w:br/>
      </w:r>
      <w:r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For every company, the decision on the selection of funding sources is important because it will affect the company's financial structure, which will ultimately affect the company's performance. The source of corporate funds is reflected by foreign capital and own capital as measured by debt to equity ratio (DER). Based on Positive Accounting Theory (PAT) formulated by Watts and Zimmerman (1986), </w:t>
      </w:r>
      <w:proofErr w:type="gramStart"/>
      <w:r w:rsidRPr="00C152E9">
        <w:rPr>
          <w:rFonts w:ascii="Palatino Linotype" w:hAnsi="Palatino Linotype"/>
          <w:sz w:val="20"/>
          <w:szCs w:val="20"/>
          <w:lang w:val="en"/>
        </w:rPr>
        <w:t>The</w:t>
      </w:r>
      <w:proofErr w:type="gramEnd"/>
      <w:r w:rsidRPr="00C152E9">
        <w:rPr>
          <w:rFonts w:ascii="Palatino Linotype" w:hAnsi="Palatino Linotype"/>
          <w:sz w:val="20"/>
          <w:szCs w:val="20"/>
          <w:lang w:val="en"/>
        </w:rPr>
        <w:t xml:space="preserve"> debt to equity hypothesis (debt covenant hypothesis) in companies that have high debt to equity ratio, company managers tend to use accounting methods that can increase revenue or profit. Companies with high debt to equity ratios will have difficulty in obtaining additional funds from creditors and even companies threat</w:t>
      </w:r>
      <w:r w:rsidRPr="00C152E9">
        <w:rPr>
          <w:rFonts w:ascii="Palatino Linotype" w:hAnsi="Palatino Linotype"/>
          <w:sz w:val="20"/>
          <w:szCs w:val="20"/>
          <w:lang w:val="en"/>
        </w:rPr>
        <w:t>ened to breach debt agreements.</w:t>
      </w:r>
    </w:p>
    <w:p w:rsidR="00DB4BE2" w:rsidRPr="00C152E9" w:rsidRDefault="00DB4BE2" w:rsidP="00C152E9">
      <w:pPr>
        <w:spacing w:after="0" w:line="240" w:lineRule="auto"/>
        <w:jc w:val="both"/>
        <w:rPr>
          <w:rFonts w:ascii="Palatino Linotype" w:hAnsi="Palatino Linotype" w:cstheme="minorHAnsi"/>
          <w:sz w:val="20"/>
          <w:szCs w:val="20"/>
          <w:lang w:val="en-US"/>
        </w:rPr>
      </w:pPr>
      <w:r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The capital structure in this study is measured by debt to equity ratio, where DER is the ratio of total debt to total capital. The results of this study </w:t>
      </w:r>
      <w:proofErr w:type="spellStart"/>
      <w:r w:rsidRPr="00C152E9">
        <w:rPr>
          <w:rFonts w:ascii="Palatino Linotype" w:hAnsi="Palatino Linotype"/>
          <w:sz w:val="20"/>
          <w:szCs w:val="20"/>
          <w:lang w:val="en"/>
        </w:rPr>
        <w:t>menunujukan</w:t>
      </w:r>
      <w:proofErr w:type="spellEnd"/>
      <w:r w:rsidRPr="00C152E9">
        <w:rPr>
          <w:rFonts w:ascii="Palatino Linotype" w:hAnsi="Palatino Linotype"/>
          <w:sz w:val="20"/>
          <w:szCs w:val="20"/>
          <w:lang w:val="en"/>
        </w:rPr>
        <w:t xml:space="preserve"> that the debt owned by the company is greater than the equity owned by the company under study. So it can be concluded that the </w:t>
      </w:r>
      <w:r w:rsidRPr="00C152E9">
        <w:rPr>
          <w:rFonts w:ascii="Palatino Linotype" w:hAnsi="Palatino Linotype"/>
          <w:sz w:val="20"/>
          <w:szCs w:val="20"/>
          <w:lang w:val="en"/>
        </w:rPr>
        <w:lastRenderedPageBreak/>
        <w:t xml:space="preserve">circumstances of the capital structure of the company studied from the year 2009-2011 or after the financial crisis that occurred, affects the financial performance generated by the company. There is a positive relationship in this hypothesis because the manager can utilize the source of funds (internal and external) effectively, so that the capital </w:t>
      </w:r>
      <w:proofErr w:type="gramStart"/>
      <w:r w:rsidRPr="00C152E9">
        <w:rPr>
          <w:rFonts w:ascii="Palatino Linotype" w:hAnsi="Palatino Linotype"/>
          <w:sz w:val="20"/>
          <w:szCs w:val="20"/>
          <w:lang w:val="en"/>
        </w:rPr>
        <w:t>structure affect</w:t>
      </w:r>
      <w:proofErr w:type="gramEnd"/>
      <w:r w:rsidRPr="00C152E9">
        <w:rPr>
          <w:rFonts w:ascii="Palatino Linotype" w:hAnsi="Palatino Linotype"/>
          <w:sz w:val="20"/>
          <w:szCs w:val="20"/>
          <w:lang w:val="en"/>
        </w:rPr>
        <w:t xml:space="preserve"> the financial performance generated.</w:t>
      </w:r>
      <w:r w:rsidRPr="00C152E9">
        <w:rPr>
          <w:rFonts w:ascii="Palatino Linotype" w:hAnsi="Palatino Linotype"/>
          <w:sz w:val="20"/>
          <w:szCs w:val="20"/>
          <w:lang w:val="en"/>
        </w:rPr>
        <w:br/>
      </w:r>
      <w:r w:rsidRPr="00C152E9">
        <w:rPr>
          <w:rFonts w:ascii="Palatino Linotype" w:hAnsi="Palatino Linotype"/>
          <w:sz w:val="20"/>
          <w:szCs w:val="20"/>
          <w:lang w:val="en"/>
        </w:rPr>
        <w:br/>
      </w:r>
      <w:r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These findings support research conducted by </w:t>
      </w:r>
      <w:proofErr w:type="spellStart"/>
      <w:r w:rsidRPr="00C152E9">
        <w:rPr>
          <w:rFonts w:ascii="Palatino Linotype" w:hAnsi="Palatino Linotype"/>
          <w:sz w:val="20"/>
          <w:szCs w:val="20"/>
          <w:lang w:val="en"/>
        </w:rPr>
        <w:t>Dewa</w:t>
      </w:r>
      <w:proofErr w:type="spellEnd"/>
      <w:r w:rsidRPr="00C152E9">
        <w:rPr>
          <w:rFonts w:ascii="Palatino Linotype" w:hAnsi="Palatino Linotype"/>
          <w:sz w:val="20"/>
          <w:szCs w:val="20"/>
          <w:lang w:val="en"/>
        </w:rPr>
        <w:t xml:space="preserve"> </w:t>
      </w:r>
      <w:proofErr w:type="spellStart"/>
      <w:r w:rsidRPr="00C152E9">
        <w:rPr>
          <w:rFonts w:ascii="Palatino Linotype" w:hAnsi="Palatino Linotype"/>
          <w:sz w:val="20"/>
          <w:szCs w:val="20"/>
          <w:lang w:val="en"/>
        </w:rPr>
        <w:t>Kadek</w:t>
      </w:r>
      <w:proofErr w:type="spellEnd"/>
      <w:r w:rsidRPr="00C152E9">
        <w:rPr>
          <w:rFonts w:ascii="Palatino Linotype" w:hAnsi="Palatino Linotype"/>
          <w:sz w:val="20"/>
          <w:szCs w:val="20"/>
          <w:lang w:val="en"/>
        </w:rPr>
        <w:t xml:space="preserve"> (2011) from the results of his research states that the capital structure has a positive and significant effect on financial performance, unlike the results of research conducted by </w:t>
      </w:r>
      <w:proofErr w:type="spellStart"/>
      <w:r w:rsidRPr="00C152E9">
        <w:rPr>
          <w:rFonts w:ascii="Palatino Linotype" w:hAnsi="Palatino Linotype"/>
          <w:sz w:val="20"/>
          <w:szCs w:val="20"/>
          <w:lang w:val="en"/>
        </w:rPr>
        <w:t>Puwanenthiren</w:t>
      </w:r>
      <w:proofErr w:type="spellEnd"/>
      <w:r w:rsidRPr="00C152E9">
        <w:rPr>
          <w:rFonts w:ascii="Palatino Linotype" w:hAnsi="Palatino Linotype"/>
          <w:sz w:val="20"/>
          <w:szCs w:val="20"/>
          <w:lang w:val="en"/>
        </w:rPr>
        <w:t xml:space="preserve"> </w:t>
      </w:r>
      <w:proofErr w:type="spellStart"/>
      <w:r w:rsidRPr="00C152E9">
        <w:rPr>
          <w:rFonts w:ascii="Palatino Linotype" w:hAnsi="Palatino Linotype"/>
          <w:sz w:val="20"/>
          <w:szCs w:val="20"/>
          <w:lang w:val="en"/>
        </w:rPr>
        <w:t>Pratheepkanth</w:t>
      </w:r>
      <w:proofErr w:type="spellEnd"/>
      <w:r w:rsidRPr="00C152E9">
        <w:rPr>
          <w:rFonts w:ascii="Palatino Linotype" w:hAnsi="Palatino Linotype"/>
          <w:sz w:val="20"/>
          <w:szCs w:val="20"/>
          <w:lang w:val="en"/>
        </w:rPr>
        <w:t xml:space="preserve"> (2011) and Y. </w:t>
      </w:r>
      <w:proofErr w:type="spellStart"/>
      <w:r w:rsidRPr="00C152E9">
        <w:rPr>
          <w:rFonts w:ascii="Palatino Linotype" w:hAnsi="Palatino Linotype"/>
          <w:sz w:val="20"/>
          <w:szCs w:val="20"/>
          <w:lang w:val="en"/>
        </w:rPr>
        <w:t>Lingesiya</w:t>
      </w:r>
      <w:proofErr w:type="spellEnd"/>
      <w:r w:rsidRPr="00C152E9">
        <w:rPr>
          <w:rFonts w:ascii="Palatino Linotype" w:hAnsi="Palatino Linotype"/>
          <w:sz w:val="20"/>
          <w:szCs w:val="20"/>
          <w:lang w:val="en"/>
        </w:rPr>
        <w:t xml:space="preserve">, P. </w:t>
      </w:r>
      <w:proofErr w:type="spellStart"/>
      <w:r w:rsidRPr="00C152E9">
        <w:rPr>
          <w:rFonts w:ascii="Palatino Linotype" w:hAnsi="Palatino Linotype"/>
          <w:sz w:val="20"/>
          <w:szCs w:val="20"/>
          <w:lang w:val="en"/>
        </w:rPr>
        <w:t>Premkanth</w:t>
      </w:r>
      <w:proofErr w:type="spellEnd"/>
      <w:r w:rsidRPr="00C152E9">
        <w:rPr>
          <w:rFonts w:ascii="Palatino Linotype" w:hAnsi="Palatino Linotype"/>
          <w:sz w:val="20"/>
          <w:szCs w:val="20"/>
          <w:lang w:val="en"/>
        </w:rPr>
        <w:t xml:space="preserve"> (2011) where the results of his research found evidence that the partial capital structure negatively affect the financial performance of business enterprises in Sri Lanka. So also with the results of research from </w:t>
      </w:r>
      <w:proofErr w:type="spellStart"/>
      <w:r w:rsidRPr="00C152E9">
        <w:rPr>
          <w:rFonts w:ascii="Palatino Linotype" w:hAnsi="Palatino Linotype"/>
          <w:sz w:val="20"/>
          <w:szCs w:val="20"/>
          <w:lang w:val="en"/>
        </w:rPr>
        <w:t>Onaolapo</w:t>
      </w:r>
      <w:proofErr w:type="spellEnd"/>
      <w:r w:rsidRPr="00C152E9">
        <w:rPr>
          <w:rFonts w:ascii="Palatino Linotype" w:hAnsi="Palatino Linotype"/>
          <w:sz w:val="20"/>
          <w:szCs w:val="20"/>
          <w:lang w:val="en"/>
        </w:rPr>
        <w:t xml:space="preserve"> and </w:t>
      </w:r>
      <w:proofErr w:type="spellStart"/>
      <w:r w:rsidRPr="00C152E9">
        <w:rPr>
          <w:rFonts w:ascii="Palatino Linotype" w:hAnsi="Palatino Linotype"/>
          <w:sz w:val="20"/>
          <w:szCs w:val="20"/>
          <w:lang w:val="en"/>
        </w:rPr>
        <w:t>Kajola</w:t>
      </w:r>
      <w:proofErr w:type="spellEnd"/>
      <w:r w:rsidRPr="00C152E9">
        <w:rPr>
          <w:rFonts w:ascii="Palatino Linotype" w:hAnsi="Palatino Linotype"/>
          <w:sz w:val="20"/>
          <w:szCs w:val="20"/>
          <w:lang w:val="en"/>
        </w:rPr>
        <w:t xml:space="preserve"> (2010) that the partial capital structure has a negative and significant impact on the financial performance of companies in Nigeria.</w:t>
      </w:r>
    </w:p>
    <w:p w:rsidR="00DB4BE2" w:rsidRPr="00C152E9" w:rsidRDefault="00DB4BE2" w:rsidP="00C152E9">
      <w:pPr>
        <w:spacing w:after="0" w:line="240" w:lineRule="auto"/>
        <w:jc w:val="both"/>
        <w:rPr>
          <w:rFonts w:ascii="Palatino Linotype" w:hAnsi="Palatino Linotype" w:cstheme="minorHAnsi"/>
          <w:sz w:val="20"/>
          <w:szCs w:val="20"/>
          <w:lang w:val="en-US"/>
        </w:rPr>
      </w:pPr>
    </w:p>
    <w:p w:rsidR="00C152E9" w:rsidRDefault="001E31BA" w:rsidP="00C152E9">
      <w:pPr>
        <w:spacing w:after="0" w:line="240" w:lineRule="auto"/>
        <w:jc w:val="both"/>
        <w:rPr>
          <w:rFonts w:ascii="Palatino Linotype" w:hAnsi="Palatino Linotype"/>
          <w:sz w:val="20"/>
          <w:szCs w:val="20"/>
          <w:lang w:val="en"/>
        </w:rPr>
      </w:pPr>
      <w:r w:rsidRPr="00C152E9">
        <w:rPr>
          <w:rFonts w:ascii="Palatino Linotype" w:hAnsi="Palatino Linotype"/>
          <w:b/>
          <w:sz w:val="20"/>
          <w:szCs w:val="20"/>
          <w:lang w:val="en"/>
        </w:rPr>
        <w:t>Influence of Insider Own</w:t>
      </w:r>
      <w:r w:rsidR="00C152E9" w:rsidRPr="00C152E9">
        <w:rPr>
          <w:rFonts w:ascii="Palatino Linotype" w:hAnsi="Palatino Linotype"/>
          <w:b/>
          <w:sz w:val="20"/>
          <w:szCs w:val="20"/>
          <w:lang w:val="en"/>
        </w:rPr>
        <w:t xml:space="preserve">ership </w:t>
      </w:r>
      <w:proofErr w:type="gramStart"/>
      <w:r w:rsidR="00C152E9" w:rsidRPr="00C152E9">
        <w:rPr>
          <w:rFonts w:ascii="Palatino Linotype" w:hAnsi="Palatino Linotype"/>
          <w:b/>
          <w:sz w:val="20"/>
          <w:szCs w:val="20"/>
          <w:lang w:val="en"/>
        </w:rPr>
        <w:t>To</w:t>
      </w:r>
      <w:proofErr w:type="gramEnd"/>
      <w:r w:rsidR="00C152E9" w:rsidRPr="00C152E9">
        <w:rPr>
          <w:rFonts w:ascii="Palatino Linotype" w:hAnsi="Palatino Linotype"/>
          <w:b/>
          <w:sz w:val="20"/>
          <w:szCs w:val="20"/>
          <w:lang w:val="en"/>
        </w:rPr>
        <w:t xml:space="preserve"> Financial Performance</w:t>
      </w:r>
    </w:p>
    <w:p w:rsidR="00063766" w:rsidRDefault="00C152E9" w:rsidP="00C152E9">
      <w:pPr>
        <w:spacing w:after="0" w:line="240" w:lineRule="auto"/>
        <w:jc w:val="both"/>
        <w:rPr>
          <w:rFonts w:ascii="Palatino Linotype" w:hAnsi="Palatino Linotype"/>
          <w:sz w:val="20"/>
          <w:szCs w:val="20"/>
          <w:lang w:val="en"/>
        </w:rPr>
      </w:pPr>
      <w:r w:rsidRPr="00C152E9">
        <w:rPr>
          <w:rFonts w:ascii="Palatino Linotype" w:hAnsi="Palatino Linotype"/>
          <w:sz w:val="20"/>
          <w:szCs w:val="20"/>
          <w:lang w:val="en"/>
        </w:rPr>
        <w:t xml:space="preserve">       </w:t>
      </w:r>
      <w:r w:rsidR="001E31BA" w:rsidRPr="00C152E9">
        <w:rPr>
          <w:rFonts w:ascii="Palatino Linotype" w:hAnsi="Palatino Linotype"/>
          <w:sz w:val="20"/>
          <w:szCs w:val="20"/>
          <w:lang w:val="en"/>
        </w:rPr>
        <w:t xml:space="preserve">From the results of hypothesis testing with </w:t>
      </w:r>
      <w:proofErr w:type="gramStart"/>
      <w:r w:rsidR="001E31BA" w:rsidRPr="00C152E9">
        <w:rPr>
          <w:rFonts w:ascii="Palatino Linotype" w:hAnsi="Palatino Linotype"/>
          <w:sz w:val="20"/>
          <w:szCs w:val="20"/>
          <w:lang w:val="en"/>
        </w:rPr>
        <w:t>a significance</w:t>
      </w:r>
      <w:proofErr w:type="gramEnd"/>
      <w:r w:rsidR="001E31BA" w:rsidRPr="00C152E9">
        <w:rPr>
          <w:rFonts w:ascii="Palatino Linotype" w:hAnsi="Palatino Linotype"/>
          <w:sz w:val="20"/>
          <w:szCs w:val="20"/>
          <w:lang w:val="en"/>
        </w:rPr>
        <w:t xml:space="preserve"> value of 0.541 or greater than 0.05, it can be concluded that the results of testing the fourth hypothesis obtained that insider ownership negatively affect financial performance at manufacturing companies in BEI Year 2009-2011. This means that the large share ownership dominated by insider ownership or management does not guarantee the good performance of the company after the financial crisis. The rejection of this hypothesis is likely to occur because after the crisis, managerial ownership is too low that the manager's performance in managing the company is less than optimal and the manager as a minority shareholder has not been able to participate actively in making a decision in the company, thus not affec</w:t>
      </w:r>
      <w:r w:rsidR="00063766">
        <w:rPr>
          <w:rFonts w:ascii="Palatino Linotype" w:hAnsi="Palatino Linotype"/>
          <w:sz w:val="20"/>
          <w:szCs w:val="20"/>
          <w:lang w:val="en"/>
        </w:rPr>
        <w:t>ting the financial performance.</w:t>
      </w:r>
    </w:p>
    <w:p w:rsidR="00DB4BE2" w:rsidRPr="00C152E9" w:rsidRDefault="001E31BA" w:rsidP="00C152E9">
      <w:pPr>
        <w:spacing w:after="0" w:line="240" w:lineRule="auto"/>
        <w:jc w:val="both"/>
        <w:rPr>
          <w:rFonts w:ascii="Palatino Linotype" w:hAnsi="Palatino Linotype"/>
          <w:b/>
          <w:sz w:val="20"/>
          <w:szCs w:val="20"/>
          <w:lang w:val="en"/>
        </w:rPr>
      </w:pPr>
      <w:r w:rsidRPr="00C152E9">
        <w:rPr>
          <w:rFonts w:ascii="Palatino Linotype" w:hAnsi="Palatino Linotype"/>
          <w:sz w:val="20"/>
          <w:szCs w:val="20"/>
          <w:lang w:val="en"/>
        </w:rPr>
        <w:br/>
      </w:r>
      <w:r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The term insider ownership is used to show the percentage of ownership by managers and institutional (Jensen and </w:t>
      </w:r>
      <w:proofErr w:type="spellStart"/>
      <w:r w:rsidRPr="00C152E9">
        <w:rPr>
          <w:rFonts w:ascii="Palatino Linotype" w:hAnsi="Palatino Linotype"/>
          <w:sz w:val="20"/>
          <w:szCs w:val="20"/>
          <w:lang w:val="en"/>
        </w:rPr>
        <w:t>Meckling</w:t>
      </w:r>
      <w:proofErr w:type="spellEnd"/>
      <w:r w:rsidRPr="00C152E9">
        <w:rPr>
          <w:rFonts w:ascii="Palatino Linotype" w:hAnsi="Palatino Linotype"/>
          <w:sz w:val="20"/>
          <w:szCs w:val="20"/>
          <w:lang w:val="en"/>
        </w:rPr>
        <w:t xml:space="preserve">: 1976), meaning that insider ownership also describes how much shares are owned by public, insider and outsider ownership. According to agency </w:t>
      </w:r>
      <w:proofErr w:type="spellStart"/>
      <w:r w:rsidRPr="00C152E9">
        <w:rPr>
          <w:rFonts w:ascii="Palatino Linotype" w:hAnsi="Palatino Linotype"/>
          <w:sz w:val="20"/>
          <w:szCs w:val="20"/>
          <w:lang w:val="en"/>
        </w:rPr>
        <w:t>teory</w:t>
      </w:r>
      <w:proofErr w:type="spellEnd"/>
      <w:r w:rsidRPr="00C152E9">
        <w:rPr>
          <w:rFonts w:ascii="Palatino Linotype" w:hAnsi="Palatino Linotype"/>
          <w:sz w:val="20"/>
          <w:szCs w:val="20"/>
          <w:lang w:val="en"/>
        </w:rPr>
        <w:t xml:space="preserve">, the separation between ownership and management of a company can lead to agency conflict. These agency conflicts are due to the different interests of principals and agents, the difference in interests between management and shareholders result in management cheating and unethical behavior that harms shareholders. Therefore, it is necessary to have a control mechanism that can align the difference of interest between management and stock. According to Jensen and </w:t>
      </w:r>
      <w:proofErr w:type="spellStart"/>
      <w:r w:rsidRPr="00C152E9">
        <w:rPr>
          <w:rFonts w:ascii="Palatino Linotype" w:hAnsi="Palatino Linotype"/>
          <w:sz w:val="20"/>
          <w:szCs w:val="20"/>
          <w:lang w:val="en"/>
        </w:rPr>
        <w:t>Meckling</w:t>
      </w:r>
      <w:proofErr w:type="spellEnd"/>
      <w:r w:rsidRPr="00C152E9">
        <w:rPr>
          <w:rFonts w:ascii="Palatino Linotype" w:hAnsi="Palatino Linotype"/>
          <w:sz w:val="20"/>
          <w:szCs w:val="20"/>
          <w:lang w:val="en"/>
        </w:rPr>
        <w:t xml:space="preserve"> (1976) the greater the ownership of shares by management the stronger the tendency of management to optimize the use of resources resulting in an increase to the financial performance of the company.</w:t>
      </w:r>
      <w:r w:rsidRPr="00C152E9">
        <w:rPr>
          <w:rFonts w:ascii="Palatino Linotype" w:hAnsi="Palatino Linotype"/>
          <w:sz w:val="20"/>
          <w:szCs w:val="20"/>
          <w:lang w:val="en"/>
        </w:rPr>
        <w:br/>
      </w:r>
      <w:r w:rsidRPr="00C152E9">
        <w:rPr>
          <w:rFonts w:ascii="Palatino Linotype" w:hAnsi="Palatino Linotype"/>
          <w:sz w:val="20"/>
          <w:szCs w:val="20"/>
          <w:lang w:val="en"/>
        </w:rPr>
        <w:br/>
      </w:r>
      <w:r w:rsidRPr="00C152E9">
        <w:rPr>
          <w:rFonts w:ascii="Palatino Linotype" w:hAnsi="Palatino Linotype"/>
          <w:sz w:val="20"/>
          <w:szCs w:val="20"/>
          <w:lang w:val="en"/>
        </w:rPr>
        <w:t xml:space="preserve">       </w:t>
      </w:r>
      <w:r w:rsidRPr="00C152E9">
        <w:rPr>
          <w:rFonts w:ascii="Palatino Linotype" w:hAnsi="Palatino Linotype"/>
          <w:sz w:val="20"/>
          <w:szCs w:val="20"/>
          <w:lang w:val="en"/>
        </w:rPr>
        <w:t xml:space="preserve">These findings support research conducted by </w:t>
      </w:r>
      <w:proofErr w:type="spellStart"/>
      <w:r w:rsidRPr="00C152E9">
        <w:rPr>
          <w:rFonts w:ascii="Palatino Linotype" w:hAnsi="Palatino Linotype"/>
          <w:sz w:val="20"/>
          <w:szCs w:val="20"/>
          <w:lang w:val="en"/>
        </w:rPr>
        <w:t>Bala</w:t>
      </w:r>
      <w:proofErr w:type="spellEnd"/>
      <w:r w:rsidRPr="00C152E9">
        <w:rPr>
          <w:rFonts w:ascii="Palatino Linotype" w:hAnsi="Palatino Linotype"/>
          <w:sz w:val="20"/>
          <w:szCs w:val="20"/>
          <w:lang w:val="en"/>
        </w:rPr>
        <w:t xml:space="preserve"> </w:t>
      </w:r>
      <w:proofErr w:type="spellStart"/>
      <w:r w:rsidRPr="00C152E9">
        <w:rPr>
          <w:rFonts w:ascii="Palatino Linotype" w:hAnsi="Palatino Linotype"/>
          <w:sz w:val="20"/>
          <w:szCs w:val="20"/>
          <w:lang w:val="en"/>
        </w:rPr>
        <w:t>Ramasamy</w:t>
      </w:r>
      <w:proofErr w:type="spellEnd"/>
      <w:r w:rsidRPr="00C152E9">
        <w:rPr>
          <w:rFonts w:ascii="Palatino Linotype" w:hAnsi="Palatino Linotype"/>
          <w:sz w:val="20"/>
          <w:szCs w:val="20"/>
          <w:lang w:val="en"/>
        </w:rPr>
        <w:t xml:space="preserve">, Darryl </w:t>
      </w:r>
      <w:proofErr w:type="spellStart"/>
      <w:r w:rsidRPr="00C152E9">
        <w:rPr>
          <w:rFonts w:ascii="Palatino Linotype" w:hAnsi="Palatino Linotype"/>
          <w:sz w:val="20"/>
          <w:szCs w:val="20"/>
          <w:lang w:val="en"/>
        </w:rPr>
        <w:t>Ong</w:t>
      </w:r>
      <w:proofErr w:type="spellEnd"/>
      <w:r w:rsidRPr="00C152E9">
        <w:rPr>
          <w:rFonts w:ascii="Palatino Linotype" w:hAnsi="Palatino Linotype"/>
          <w:sz w:val="20"/>
          <w:szCs w:val="20"/>
          <w:lang w:val="en"/>
        </w:rPr>
        <w:t xml:space="preserve"> and Matthew C. H. </w:t>
      </w:r>
      <w:proofErr w:type="spellStart"/>
      <w:r w:rsidRPr="00C152E9">
        <w:rPr>
          <w:rFonts w:ascii="Palatino Linotype" w:hAnsi="Palatino Linotype"/>
          <w:sz w:val="20"/>
          <w:szCs w:val="20"/>
          <w:lang w:val="en"/>
        </w:rPr>
        <w:t>Yeung</w:t>
      </w:r>
      <w:proofErr w:type="spellEnd"/>
      <w:r w:rsidRPr="00C152E9">
        <w:rPr>
          <w:rFonts w:ascii="Palatino Linotype" w:hAnsi="Palatino Linotype"/>
          <w:sz w:val="20"/>
          <w:szCs w:val="20"/>
          <w:lang w:val="en"/>
        </w:rPr>
        <w:t xml:space="preserve"> (2005) found that ownership structure negatively affects the financial performance of firms in Malaysia. These findings also support the research of Khalil, Syed, and </w:t>
      </w:r>
      <w:proofErr w:type="spellStart"/>
      <w:r w:rsidRPr="00C152E9">
        <w:rPr>
          <w:rFonts w:ascii="Palatino Linotype" w:hAnsi="Palatino Linotype"/>
          <w:sz w:val="20"/>
          <w:szCs w:val="20"/>
          <w:lang w:val="en"/>
        </w:rPr>
        <w:t>Zahid</w:t>
      </w:r>
      <w:proofErr w:type="spellEnd"/>
      <w:r w:rsidRPr="00C152E9">
        <w:rPr>
          <w:rFonts w:ascii="Palatino Linotype" w:hAnsi="Palatino Linotype"/>
          <w:sz w:val="20"/>
          <w:szCs w:val="20"/>
          <w:lang w:val="en"/>
        </w:rPr>
        <w:t xml:space="preserve"> </w:t>
      </w:r>
      <w:proofErr w:type="spellStart"/>
      <w:r w:rsidRPr="00C152E9">
        <w:rPr>
          <w:rFonts w:ascii="Palatino Linotype" w:hAnsi="Palatino Linotype"/>
          <w:sz w:val="20"/>
          <w:szCs w:val="20"/>
          <w:lang w:val="en"/>
        </w:rPr>
        <w:t>Hussain</w:t>
      </w:r>
      <w:proofErr w:type="spellEnd"/>
      <w:r w:rsidRPr="00C152E9">
        <w:rPr>
          <w:rFonts w:ascii="Palatino Linotype" w:hAnsi="Palatino Linotype"/>
          <w:sz w:val="20"/>
          <w:szCs w:val="20"/>
          <w:lang w:val="en"/>
        </w:rPr>
        <w:t xml:space="preserve"> (2012) who found that ownership structure negatively affects the financial performance of firms in Pakistan. The results of this study are not consistent with the research conducted by </w:t>
      </w:r>
      <w:proofErr w:type="spellStart"/>
      <w:r w:rsidRPr="00C152E9">
        <w:rPr>
          <w:rFonts w:ascii="Palatino Linotype" w:hAnsi="Palatino Linotype"/>
          <w:sz w:val="20"/>
          <w:szCs w:val="20"/>
          <w:lang w:val="en"/>
        </w:rPr>
        <w:t>Sanghoon</w:t>
      </w:r>
      <w:proofErr w:type="spellEnd"/>
      <w:r w:rsidRPr="00C152E9">
        <w:rPr>
          <w:rFonts w:ascii="Palatino Linotype" w:hAnsi="Palatino Linotype"/>
          <w:sz w:val="20"/>
          <w:szCs w:val="20"/>
          <w:lang w:val="en"/>
        </w:rPr>
        <w:t xml:space="preserve"> Lee (2008), where </w:t>
      </w:r>
      <w:proofErr w:type="spellStart"/>
      <w:r w:rsidRPr="00C152E9">
        <w:rPr>
          <w:rFonts w:ascii="Palatino Linotype" w:hAnsi="Palatino Linotype"/>
          <w:sz w:val="20"/>
          <w:szCs w:val="20"/>
          <w:lang w:val="en"/>
        </w:rPr>
        <w:t>Sanghoon</w:t>
      </w:r>
      <w:proofErr w:type="spellEnd"/>
      <w:r w:rsidRPr="00C152E9">
        <w:rPr>
          <w:rFonts w:ascii="Palatino Linotype" w:hAnsi="Palatino Linotype"/>
          <w:sz w:val="20"/>
          <w:szCs w:val="20"/>
          <w:lang w:val="en"/>
        </w:rPr>
        <w:t xml:space="preserve"> concluded that the ownership structure has a positive and significant effect on the financial performance of the company in Korea.</w:t>
      </w:r>
    </w:p>
    <w:p w:rsidR="001E31BA" w:rsidRDefault="001E31BA">
      <w:pPr>
        <w:spacing w:after="0" w:line="240" w:lineRule="auto"/>
        <w:rPr>
          <w:rFonts w:ascii="Palatino Linotype" w:hAnsi="Palatino Linotype" w:cstheme="minorHAnsi"/>
          <w:sz w:val="20"/>
          <w:szCs w:val="24"/>
          <w:lang w:val="en-US"/>
        </w:rPr>
      </w:pPr>
    </w:p>
    <w:p w:rsidR="00077E67" w:rsidRDefault="00077E67">
      <w:pPr>
        <w:spacing w:after="0" w:line="240" w:lineRule="auto"/>
        <w:ind w:left="1134"/>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b/>
          <w:sz w:val="28"/>
          <w:szCs w:val="24"/>
          <w:lang w:val="en-US"/>
        </w:rPr>
      </w:pPr>
    </w:p>
    <w:p w:rsidR="0099672E" w:rsidRDefault="0099672E">
      <w:pPr>
        <w:spacing w:after="0" w:line="240" w:lineRule="auto"/>
        <w:jc w:val="both"/>
        <w:rPr>
          <w:rFonts w:ascii="Palatino Linotype" w:hAnsi="Palatino Linotype" w:cstheme="minorHAnsi"/>
          <w:b/>
          <w:sz w:val="28"/>
          <w:szCs w:val="24"/>
          <w:lang w:val="en-US"/>
        </w:rPr>
      </w:pPr>
    </w:p>
    <w:p w:rsidR="0099672E" w:rsidRDefault="0099672E">
      <w:pPr>
        <w:spacing w:after="0" w:line="240" w:lineRule="auto"/>
        <w:jc w:val="both"/>
        <w:rPr>
          <w:rFonts w:ascii="Palatino Linotype" w:hAnsi="Palatino Linotype" w:cstheme="minorHAnsi"/>
          <w:b/>
          <w:sz w:val="28"/>
          <w:szCs w:val="24"/>
          <w:lang w:val="en-US"/>
        </w:rPr>
        <w:sectPr w:rsidR="0099672E">
          <w:type w:val="continuous"/>
          <w:pgSz w:w="11906" w:h="16838"/>
          <w:pgMar w:top="1440" w:right="1440" w:bottom="1440" w:left="1440" w:header="568" w:footer="567" w:gutter="0"/>
          <w:cols w:space="708"/>
          <w:titlePg/>
          <w:docGrid w:linePitch="360"/>
        </w:sect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Conclusions</w:t>
      </w:r>
    </w:p>
    <w:p w:rsidR="0099672E" w:rsidRPr="004E2CA8" w:rsidRDefault="0099672E">
      <w:pPr>
        <w:spacing w:after="120" w:line="240" w:lineRule="auto"/>
        <w:ind w:firstLine="284"/>
        <w:jc w:val="both"/>
        <w:rPr>
          <w:rFonts w:ascii="Palatino Linotype" w:hAnsi="Palatino Linotype"/>
          <w:sz w:val="20"/>
          <w:szCs w:val="20"/>
          <w:lang w:val="en"/>
        </w:rPr>
      </w:pPr>
      <w:r w:rsidRPr="004E2CA8">
        <w:rPr>
          <w:rFonts w:ascii="Palatino Linotype" w:hAnsi="Palatino Linotype"/>
          <w:sz w:val="20"/>
          <w:szCs w:val="20"/>
          <w:lang w:val="en"/>
        </w:rPr>
        <w:t>Based on the results of research and discussion above, it can be concluded that:</w:t>
      </w:r>
      <w:r w:rsidRPr="004E2CA8">
        <w:rPr>
          <w:rFonts w:ascii="Palatino Linotype" w:hAnsi="Palatino Linotype"/>
          <w:sz w:val="20"/>
          <w:szCs w:val="20"/>
          <w:lang w:val="en"/>
        </w:rPr>
        <w:t xml:space="preserve"> </w:t>
      </w:r>
      <w:r w:rsidRPr="004E2CA8">
        <w:rPr>
          <w:rFonts w:ascii="Palatino Linotype" w:hAnsi="Palatino Linotype"/>
          <w:sz w:val="20"/>
          <w:szCs w:val="20"/>
          <w:lang w:val="en"/>
        </w:rPr>
        <w:t xml:space="preserve">Company size with significance level of 0.875 or greater than the 0.05 level of significance. This means there is no </w:t>
      </w:r>
      <w:r w:rsidRPr="004E2CA8">
        <w:rPr>
          <w:rFonts w:ascii="Palatino Linotype" w:hAnsi="Palatino Linotype"/>
          <w:sz w:val="20"/>
          <w:szCs w:val="20"/>
          <w:lang w:val="en"/>
        </w:rPr>
        <w:lastRenderedPageBreak/>
        <w:t xml:space="preserve">significant influence between the </w:t>
      </w:r>
      <w:proofErr w:type="gramStart"/>
      <w:r w:rsidRPr="004E2CA8">
        <w:rPr>
          <w:rFonts w:ascii="Palatino Linotype" w:hAnsi="Palatino Linotype"/>
          <w:sz w:val="20"/>
          <w:szCs w:val="20"/>
          <w:lang w:val="en"/>
        </w:rPr>
        <w:t>size</w:t>
      </w:r>
      <w:proofErr w:type="gramEnd"/>
      <w:r w:rsidRPr="004E2CA8">
        <w:rPr>
          <w:rFonts w:ascii="Palatino Linotype" w:hAnsi="Palatino Linotype"/>
          <w:sz w:val="20"/>
          <w:szCs w:val="20"/>
          <w:lang w:val="en"/>
        </w:rPr>
        <w:t xml:space="preserve"> of the company on the financial performance of Manufacturing companies listing on the Indonesia Stock Exchange (BEI) after the financial crisis. So it can be concluded the amount of total assets as the size of the company has not given confidence to investors about the company's ability to manage the investments provided, so the size of the company does not affect the </w:t>
      </w:r>
      <w:r w:rsidRPr="004E2CA8">
        <w:rPr>
          <w:rFonts w:ascii="Palatino Linotype" w:hAnsi="Palatino Linotype"/>
          <w:sz w:val="20"/>
          <w:szCs w:val="20"/>
          <w:lang w:val="en"/>
        </w:rPr>
        <w:t>performance of the company.</w:t>
      </w:r>
    </w:p>
    <w:p w:rsidR="0099672E" w:rsidRPr="004E2CA8" w:rsidRDefault="0099672E">
      <w:pPr>
        <w:spacing w:after="120" w:line="240" w:lineRule="auto"/>
        <w:ind w:firstLine="284"/>
        <w:jc w:val="both"/>
        <w:rPr>
          <w:rFonts w:ascii="Palatino Linotype" w:hAnsi="Palatino Linotype"/>
          <w:sz w:val="20"/>
          <w:szCs w:val="20"/>
          <w:lang w:val="en"/>
        </w:rPr>
      </w:pPr>
      <w:proofErr w:type="gramStart"/>
      <w:r w:rsidRPr="004E2CA8">
        <w:rPr>
          <w:rFonts w:ascii="Palatino Linotype" w:hAnsi="Palatino Linotype"/>
          <w:sz w:val="20"/>
          <w:szCs w:val="20"/>
          <w:lang w:val="en"/>
        </w:rPr>
        <w:t>Growth with a significance level of 0.000 or smaller than the 0.05 level of significance.</w:t>
      </w:r>
      <w:proofErr w:type="gramEnd"/>
      <w:r w:rsidRPr="004E2CA8">
        <w:rPr>
          <w:rFonts w:ascii="Palatino Linotype" w:hAnsi="Palatino Linotype"/>
          <w:sz w:val="20"/>
          <w:szCs w:val="20"/>
          <w:lang w:val="en"/>
        </w:rPr>
        <w:t xml:space="preserve"> This means that there is a significant influence between </w:t>
      </w:r>
      <w:proofErr w:type="gramStart"/>
      <w:r w:rsidRPr="004E2CA8">
        <w:rPr>
          <w:rFonts w:ascii="Palatino Linotype" w:hAnsi="Palatino Linotype"/>
          <w:sz w:val="20"/>
          <w:szCs w:val="20"/>
          <w:lang w:val="en"/>
        </w:rPr>
        <w:t>growth</w:t>
      </w:r>
      <w:proofErr w:type="gramEnd"/>
      <w:r w:rsidRPr="004E2CA8">
        <w:rPr>
          <w:rFonts w:ascii="Palatino Linotype" w:hAnsi="Palatino Linotype"/>
          <w:sz w:val="20"/>
          <w:szCs w:val="20"/>
          <w:lang w:val="en"/>
        </w:rPr>
        <w:t xml:space="preserve"> on the financial performance of Manufacturing companies listing on the Indonesia Stock Exchange (BEI). So it can be concluded that the increase in corporate growth measured through asset growth will improve the financial performance of the company e</w:t>
      </w:r>
      <w:r w:rsidRPr="004E2CA8">
        <w:rPr>
          <w:rFonts w:ascii="Palatino Linotype" w:hAnsi="Palatino Linotype"/>
          <w:sz w:val="20"/>
          <w:szCs w:val="20"/>
          <w:lang w:val="en"/>
        </w:rPr>
        <w:t>ven after the financial crisis.</w:t>
      </w:r>
    </w:p>
    <w:p w:rsidR="0099672E" w:rsidRPr="004E2CA8" w:rsidRDefault="0099672E">
      <w:pPr>
        <w:spacing w:after="120" w:line="240" w:lineRule="auto"/>
        <w:ind w:firstLine="284"/>
        <w:jc w:val="both"/>
        <w:rPr>
          <w:rFonts w:ascii="Palatino Linotype" w:hAnsi="Palatino Linotype"/>
          <w:sz w:val="20"/>
          <w:szCs w:val="20"/>
          <w:lang w:val="en"/>
        </w:rPr>
      </w:pPr>
      <w:r w:rsidRPr="004E2CA8">
        <w:rPr>
          <w:rFonts w:ascii="Palatino Linotype" w:hAnsi="Palatino Linotype"/>
          <w:sz w:val="20"/>
          <w:szCs w:val="20"/>
          <w:lang w:val="en"/>
        </w:rPr>
        <w:t xml:space="preserve">Capital structure with a significance level of 0.039 or less than the 0.05 level of significance. This means that there is a significant influence between the capital </w:t>
      </w:r>
      <w:proofErr w:type="gramStart"/>
      <w:r w:rsidRPr="004E2CA8">
        <w:rPr>
          <w:rFonts w:ascii="Palatino Linotype" w:hAnsi="Palatino Linotype"/>
          <w:sz w:val="20"/>
          <w:szCs w:val="20"/>
          <w:lang w:val="en"/>
        </w:rPr>
        <w:t>structure</w:t>
      </w:r>
      <w:proofErr w:type="gramEnd"/>
      <w:r w:rsidRPr="004E2CA8">
        <w:rPr>
          <w:rFonts w:ascii="Palatino Linotype" w:hAnsi="Palatino Linotype"/>
          <w:sz w:val="20"/>
          <w:szCs w:val="20"/>
          <w:lang w:val="en"/>
        </w:rPr>
        <w:t xml:space="preserve"> on the financial performance of the Manufacturing company listing on the Indonesia Stock Exchange (BEI) after the financial crisis. So it can be concluded that managers utilize the source of funds (internal and external) effectively, so that the capital structure can affect the financial perfor</w:t>
      </w:r>
      <w:r w:rsidRPr="004E2CA8">
        <w:rPr>
          <w:rFonts w:ascii="Palatino Linotype" w:hAnsi="Palatino Linotype"/>
          <w:sz w:val="20"/>
          <w:szCs w:val="20"/>
          <w:lang w:val="en"/>
        </w:rPr>
        <w:t>mance generated by the company.</w:t>
      </w:r>
    </w:p>
    <w:p w:rsidR="004C6F2E" w:rsidRPr="004E2CA8" w:rsidRDefault="0099672E">
      <w:pPr>
        <w:spacing w:after="120" w:line="240" w:lineRule="auto"/>
        <w:ind w:firstLine="284"/>
        <w:jc w:val="both"/>
        <w:rPr>
          <w:rFonts w:ascii="Palatino Linotype" w:hAnsi="Palatino Linotype" w:cstheme="minorHAnsi"/>
          <w:sz w:val="20"/>
          <w:szCs w:val="20"/>
          <w:lang w:val="en-US"/>
        </w:rPr>
      </w:pPr>
      <w:proofErr w:type="gramStart"/>
      <w:r w:rsidRPr="004E2CA8">
        <w:rPr>
          <w:rFonts w:ascii="Palatino Linotype" w:hAnsi="Palatino Linotype"/>
          <w:sz w:val="20"/>
          <w:szCs w:val="20"/>
          <w:lang w:val="en"/>
        </w:rPr>
        <w:t>Insider Ownership with a significance level of 0.541 or greater than the 0.05 level of significance.</w:t>
      </w:r>
      <w:proofErr w:type="gramEnd"/>
      <w:r w:rsidRPr="004E2CA8">
        <w:rPr>
          <w:rFonts w:ascii="Palatino Linotype" w:hAnsi="Palatino Linotype"/>
          <w:sz w:val="20"/>
          <w:szCs w:val="20"/>
          <w:lang w:val="en"/>
        </w:rPr>
        <w:t xml:space="preserve"> This means there is no significant influence between insider ownership on the financial performance of </w:t>
      </w:r>
      <w:proofErr w:type="gramStart"/>
      <w:r w:rsidRPr="004E2CA8">
        <w:rPr>
          <w:rFonts w:ascii="Palatino Linotype" w:hAnsi="Palatino Linotype"/>
          <w:sz w:val="20"/>
          <w:szCs w:val="20"/>
          <w:lang w:val="en"/>
        </w:rPr>
        <w:t>Manufacturing</w:t>
      </w:r>
      <w:proofErr w:type="gramEnd"/>
      <w:r w:rsidRPr="004E2CA8">
        <w:rPr>
          <w:rFonts w:ascii="Palatino Linotype" w:hAnsi="Palatino Linotype"/>
          <w:sz w:val="20"/>
          <w:szCs w:val="20"/>
          <w:lang w:val="en"/>
        </w:rPr>
        <w:t xml:space="preserve"> companies listing on the Indonesia Stock Exchange (BEI) after the financial crisis. So it can be concluded that the amount of ownership dominated by insider ownership or management does not guarantee the good performance produced by the company.</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References</w:t>
      </w:r>
    </w:p>
    <w:p w:rsidR="0099672E" w:rsidRPr="004E2CA8" w:rsidRDefault="0099672E" w:rsidP="0099672E">
      <w:pPr>
        <w:pStyle w:val="NoSpacing"/>
        <w:ind w:left="709" w:hanging="709"/>
        <w:jc w:val="both"/>
        <w:rPr>
          <w:rFonts w:ascii="Palatino Linotype" w:hAnsi="Palatino Linotype"/>
          <w:sz w:val="20"/>
          <w:szCs w:val="20"/>
        </w:rPr>
      </w:pPr>
      <w:proofErr w:type="gramStart"/>
      <w:r w:rsidRPr="004E2CA8">
        <w:rPr>
          <w:rFonts w:ascii="Palatino Linotype" w:hAnsi="Palatino Linotype"/>
          <w:sz w:val="20"/>
          <w:szCs w:val="20"/>
        </w:rPr>
        <w:t>Atkinson, Anthony A, Rajiv D. Banker, Robert S. Kaplan, and S. Mark Young.</w:t>
      </w:r>
      <w:proofErr w:type="gramEnd"/>
      <w:r w:rsidRPr="004E2CA8">
        <w:rPr>
          <w:rFonts w:ascii="Palatino Linotype" w:hAnsi="Palatino Linotype"/>
          <w:sz w:val="20"/>
          <w:szCs w:val="20"/>
        </w:rPr>
        <w:t xml:space="preserve"> </w:t>
      </w:r>
      <w:proofErr w:type="gramStart"/>
      <w:r w:rsidRPr="004E2CA8">
        <w:rPr>
          <w:rFonts w:ascii="Palatino Linotype" w:hAnsi="Palatino Linotype"/>
          <w:sz w:val="20"/>
          <w:szCs w:val="20"/>
        </w:rPr>
        <w:t xml:space="preserve">1997, </w:t>
      </w:r>
      <w:r w:rsidRPr="004E2CA8">
        <w:rPr>
          <w:rFonts w:ascii="Palatino Linotype" w:hAnsi="Palatino Linotype"/>
          <w:i/>
          <w:iCs/>
          <w:sz w:val="20"/>
          <w:szCs w:val="20"/>
        </w:rPr>
        <w:t xml:space="preserve">Management Accounting, </w:t>
      </w:r>
      <w:r w:rsidRPr="004E2CA8">
        <w:rPr>
          <w:rFonts w:ascii="Palatino Linotype" w:hAnsi="Palatino Linotype"/>
          <w:sz w:val="20"/>
          <w:szCs w:val="20"/>
        </w:rPr>
        <w:t>Second Edition, Prentice Hall International Edition.</w:t>
      </w:r>
      <w:proofErr w:type="gramEnd"/>
    </w:p>
    <w:p w:rsidR="0099672E" w:rsidRPr="004E2CA8" w:rsidRDefault="0099672E" w:rsidP="0099672E">
      <w:pPr>
        <w:pStyle w:val="NoSpacing"/>
        <w:ind w:left="709" w:hanging="709"/>
        <w:jc w:val="both"/>
        <w:rPr>
          <w:rFonts w:ascii="Palatino Linotype" w:hAnsi="Palatino Linotype"/>
          <w:sz w:val="20"/>
          <w:szCs w:val="20"/>
        </w:rPr>
      </w:pPr>
    </w:p>
    <w:p w:rsidR="0099672E" w:rsidRPr="004E2CA8" w:rsidRDefault="0099672E" w:rsidP="0099672E">
      <w:pPr>
        <w:pStyle w:val="Default"/>
        <w:ind w:left="709" w:hanging="709"/>
        <w:jc w:val="both"/>
        <w:rPr>
          <w:rFonts w:ascii="Palatino Linotype" w:hAnsi="Palatino Linotype"/>
          <w:sz w:val="20"/>
          <w:szCs w:val="20"/>
        </w:rPr>
      </w:pPr>
      <w:proofErr w:type="spellStart"/>
      <w:proofErr w:type="gramStart"/>
      <w:r w:rsidRPr="004E2CA8">
        <w:rPr>
          <w:rFonts w:ascii="Palatino Linotype" w:hAnsi="Palatino Linotype"/>
          <w:sz w:val="20"/>
          <w:szCs w:val="20"/>
        </w:rPr>
        <w:t>Bala</w:t>
      </w:r>
      <w:proofErr w:type="spellEnd"/>
      <w:r w:rsidRPr="004E2CA8">
        <w:rPr>
          <w:rFonts w:ascii="Palatino Linotype" w:hAnsi="Palatino Linotype"/>
          <w:sz w:val="20"/>
          <w:szCs w:val="20"/>
        </w:rPr>
        <w:t xml:space="preserve"> </w:t>
      </w:r>
      <w:proofErr w:type="spellStart"/>
      <w:r w:rsidRPr="004E2CA8">
        <w:rPr>
          <w:rFonts w:ascii="Palatino Linotype" w:hAnsi="Palatino Linotype"/>
          <w:bCs/>
          <w:sz w:val="20"/>
          <w:szCs w:val="20"/>
        </w:rPr>
        <w:t>Ramasamy</w:t>
      </w:r>
      <w:proofErr w:type="spellEnd"/>
      <w:r w:rsidRPr="004E2CA8">
        <w:rPr>
          <w:rFonts w:ascii="Palatino Linotype" w:hAnsi="Palatino Linotype"/>
          <w:bCs/>
          <w:sz w:val="20"/>
          <w:szCs w:val="20"/>
        </w:rPr>
        <w:t xml:space="preserve">, Darryl </w:t>
      </w:r>
      <w:proofErr w:type="spellStart"/>
      <w:r w:rsidRPr="004E2CA8">
        <w:rPr>
          <w:rFonts w:ascii="Palatino Linotype" w:hAnsi="Palatino Linotype"/>
          <w:bCs/>
          <w:sz w:val="20"/>
          <w:szCs w:val="20"/>
        </w:rPr>
        <w:t>Ong</w:t>
      </w:r>
      <w:proofErr w:type="spellEnd"/>
      <w:r w:rsidRPr="004E2CA8">
        <w:rPr>
          <w:rFonts w:ascii="Palatino Linotype" w:hAnsi="Palatino Linotype"/>
          <w:bCs/>
          <w:sz w:val="20"/>
          <w:szCs w:val="20"/>
        </w:rPr>
        <w:t xml:space="preserve"> and Matthew C. H. </w:t>
      </w:r>
      <w:proofErr w:type="spellStart"/>
      <w:r w:rsidRPr="004E2CA8">
        <w:rPr>
          <w:rFonts w:ascii="Palatino Linotype" w:hAnsi="Palatino Linotype"/>
          <w:bCs/>
          <w:sz w:val="20"/>
          <w:szCs w:val="20"/>
        </w:rPr>
        <w:t>Yeung</w:t>
      </w:r>
      <w:proofErr w:type="spellEnd"/>
      <w:r w:rsidRPr="004E2CA8">
        <w:rPr>
          <w:rFonts w:ascii="Palatino Linotype" w:hAnsi="Palatino Linotype"/>
          <w:bCs/>
          <w:sz w:val="20"/>
          <w:szCs w:val="20"/>
        </w:rPr>
        <w:t>.</w:t>
      </w:r>
      <w:proofErr w:type="gramEnd"/>
      <w:r w:rsidRPr="004E2CA8">
        <w:rPr>
          <w:rFonts w:ascii="Palatino Linotype" w:hAnsi="Palatino Linotype"/>
          <w:bCs/>
          <w:sz w:val="20"/>
          <w:szCs w:val="20"/>
        </w:rPr>
        <w:t xml:space="preserve"> 2005. </w:t>
      </w:r>
      <w:r w:rsidRPr="004E2CA8">
        <w:rPr>
          <w:rFonts w:ascii="Palatino Linotype" w:hAnsi="Palatino Linotype"/>
          <w:bCs/>
          <w:i/>
          <w:sz w:val="20"/>
          <w:szCs w:val="20"/>
        </w:rPr>
        <w:t xml:space="preserve">“Firm Size, Ownership and Performance in </w:t>
      </w:r>
      <w:proofErr w:type="gramStart"/>
      <w:r w:rsidRPr="004E2CA8">
        <w:rPr>
          <w:rFonts w:ascii="Palatino Linotype" w:hAnsi="Palatino Linotype"/>
          <w:bCs/>
          <w:i/>
          <w:sz w:val="20"/>
          <w:szCs w:val="20"/>
        </w:rPr>
        <w:t>The</w:t>
      </w:r>
      <w:proofErr w:type="gramEnd"/>
      <w:r w:rsidRPr="004E2CA8">
        <w:rPr>
          <w:rFonts w:ascii="Palatino Linotype" w:hAnsi="Palatino Linotype"/>
          <w:bCs/>
          <w:i/>
          <w:sz w:val="20"/>
          <w:szCs w:val="20"/>
        </w:rPr>
        <w:t xml:space="preserve"> Malaysian Palm Oil Industry”. </w:t>
      </w:r>
      <w:r w:rsidRPr="004E2CA8">
        <w:rPr>
          <w:rFonts w:ascii="Palatino Linotype" w:hAnsi="Palatino Linotype"/>
          <w:bCs/>
          <w:sz w:val="20"/>
          <w:szCs w:val="20"/>
        </w:rPr>
        <w:t xml:space="preserve">Asian Academy </w:t>
      </w:r>
      <w:proofErr w:type="gramStart"/>
      <w:r w:rsidRPr="004E2CA8">
        <w:rPr>
          <w:rFonts w:ascii="Palatino Linotype" w:hAnsi="Palatino Linotype"/>
          <w:bCs/>
          <w:sz w:val="20"/>
          <w:szCs w:val="20"/>
        </w:rPr>
        <w:t xml:space="preserve">of </w:t>
      </w:r>
      <w:r w:rsidRPr="004E2CA8">
        <w:rPr>
          <w:rFonts w:ascii="Palatino Linotype" w:hAnsi="Palatino Linotype"/>
          <w:sz w:val="20"/>
          <w:szCs w:val="20"/>
        </w:rPr>
        <w:t xml:space="preserve"> </w:t>
      </w:r>
      <w:r w:rsidRPr="004E2CA8">
        <w:rPr>
          <w:rFonts w:ascii="Palatino Linotype" w:hAnsi="Palatino Linotype"/>
          <w:bCs/>
          <w:sz w:val="20"/>
          <w:szCs w:val="20"/>
        </w:rPr>
        <w:t>Management</w:t>
      </w:r>
      <w:proofErr w:type="gramEnd"/>
      <w:r w:rsidRPr="004E2CA8">
        <w:rPr>
          <w:rFonts w:ascii="Palatino Linotype" w:hAnsi="Palatino Linotype"/>
          <w:bCs/>
          <w:sz w:val="20"/>
          <w:szCs w:val="20"/>
        </w:rPr>
        <w:t xml:space="preserve"> Journal of Accounting</w:t>
      </w:r>
      <w:r w:rsidRPr="004E2CA8">
        <w:rPr>
          <w:rFonts w:ascii="Palatino Linotype" w:hAnsi="Palatino Linotype"/>
          <w:sz w:val="20"/>
          <w:szCs w:val="20"/>
        </w:rPr>
        <w:t xml:space="preserve"> </w:t>
      </w:r>
      <w:r w:rsidRPr="004E2CA8">
        <w:rPr>
          <w:rFonts w:ascii="Palatino Linotype" w:hAnsi="Palatino Linotype"/>
          <w:bCs/>
          <w:sz w:val="20"/>
          <w:szCs w:val="20"/>
        </w:rPr>
        <w:t xml:space="preserve">and Finance. </w:t>
      </w:r>
      <w:r w:rsidRPr="004E2CA8">
        <w:rPr>
          <w:rFonts w:ascii="Palatino Linotype" w:hAnsi="Palatino Linotype"/>
          <w:sz w:val="20"/>
          <w:szCs w:val="20"/>
        </w:rPr>
        <w:t>AAMJAF, Vol. 1, 81–104, 2005.</w:t>
      </w:r>
    </w:p>
    <w:p w:rsidR="0099672E" w:rsidRPr="004E2CA8" w:rsidRDefault="0099672E" w:rsidP="0099672E">
      <w:pPr>
        <w:autoSpaceDE w:val="0"/>
        <w:autoSpaceDN w:val="0"/>
        <w:adjustRightInd w:val="0"/>
        <w:spacing w:after="0" w:line="240" w:lineRule="auto"/>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20" w:hanging="720"/>
        <w:jc w:val="both"/>
        <w:rPr>
          <w:rFonts w:ascii="Palatino Linotype" w:hAnsi="Palatino Linotype"/>
          <w:sz w:val="20"/>
          <w:szCs w:val="20"/>
        </w:rPr>
      </w:pPr>
      <w:r w:rsidRPr="004E2CA8">
        <w:rPr>
          <w:rFonts w:ascii="Palatino Linotype" w:hAnsi="Palatino Linotype"/>
          <w:sz w:val="20"/>
          <w:szCs w:val="20"/>
        </w:rPr>
        <w:t xml:space="preserve">Brigham  dan  Houston.  2001.  </w:t>
      </w:r>
      <w:r w:rsidRPr="004E2CA8">
        <w:rPr>
          <w:rFonts w:ascii="Palatino Linotype" w:hAnsi="Palatino Linotype"/>
          <w:bCs/>
          <w:sz w:val="20"/>
          <w:szCs w:val="20"/>
        </w:rPr>
        <w:t>Manajemen  Keuangan</w:t>
      </w:r>
      <w:r w:rsidRPr="004E2CA8">
        <w:rPr>
          <w:rFonts w:ascii="Palatino Linotype" w:hAnsi="Palatino Linotype"/>
          <w:i/>
          <w:iCs/>
          <w:sz w:val="20"/>
          <w:szCs w:val="20"/>
        </w:rPr>
        <w:t xml:space="preserve">  Buku  II</w:t>
      </w:r>
      <w:r w:rsidRPr="004E2CA8">
        <w:rPr>
          <w:rFonts w:ascii="Palatino Linotype" w:hAnsi="Palatino Linotype"/>
          <w:sz w:val="20"/>
          <w:szCs w:val="20"/>
        </w:rPr>
        <w:t xml:space="preserve">.  Penerbit Erlangga. Jakarta </w:t>
      </w:r>
    </w:p>
    <w:p w:rsidR="0099672E" w:rsidRPr="004E2CA8" w:rsidRDefault="0099672E" w:rsidP="0099672E">
      <w:pPr>
        <w:autoSpaceDE w:val="0"/>
        <w:autoSpaceDN w:val="0"/>
        <w:adjustRightInd w:val="0"/>
        <w:spacing w:after="0" w:line="240" w:lineRule="auto"/>
        <w:ind w:left="720" w:hanging="720"/>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 xml:space="preserve">Christie, A. A. (1990). Aggregation of test statistics: An evaluation of the evidence on contracting and size hypotheses. </w:t>
      </w:r>
      <w:r w:rsidRPr="004E2CA8">
        <w:rPr>
          <w:rFonts w:ascii="Palatino Linotype" w:hAnsi="Palatino Linotype"/>
          <w:i/>
          <w:iCs/>
          <w:sz w:val="20"/>
          <w:szCs w:val="20"/>
        </w:rPr>
        <w:t xml:space="preserve">Journal of Accounting &amp; Economics, 12, </w:t>
      </w:r>
      <w:r w:rsidRPr="004E2CA8">
        <w:rPr>
          <w:rFonts w:ascii="Palatino Linotype" w:hAnsi="Palatino Linotype"/>
          <w:sz w:val="20"/>
          <w:szCs w:val="20"/>
        </w:rPr>
        <w:t>15-36.</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 xml:space="preserve">Dewa Kadek Oka Kusumajaya. 2011. </w:t>
      </w:r>
      <w:r w:rsidRPr="004E2CA8">
        <w:rPr>
          <w:rFonts w:ascii="Palatino Linotype" w:hAnsi="Palatino Linotype"/>
          <w:bCs/>
          <w:sz w:val="20"/>
          <w:szCs w:val="20"/>
        </w:rPr>
        <w:t xml:space="preserve">“Pengaruh Struktur Modal dan Pertumbuhan Perusahaan Terhadap Profitabilitas dan Nilai Perusahaan Pada Perusahaan Manufaktur di Bursa Efek Indonesia”. </w:t>
      </w:r>
      <w:r w:rsidRPr="004E2CA8">
        <w:rPr>
          <w:rFonts w:ascii="Palatino Linotype" w:hAnsi="Palatino Linotype"/>
          <w:sz w:val="20"/>
          <w:szCs w:val="20"/>
        </w:rPr>
        <w:t>unud-136-193760511-tesis.pdf. Program Pascasarjana. Universitas Udayana. Denpasar</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color w:val="231F20"/>
          <w:sz w:val="20"/>
          <w:szCs w:val="20"/>
        </w:rPr>
      </w:pPr>
      <w:r w:rsidRPr="004E2CA8">
        <w:rPr>
          <w:rFonts w:ascii="Palatino Linotype" w:hAnsi="Palatino Linotype"/>
          <w:color w:val="231F20"/>
          <w:sz w:val="20"/>
          <w:szCs w:val="20"/>
        </w:rPr>
        <w:t xml:space="preserve">Green, C.J., V. Murinde and J. Suppakitjarak. 2002. </w:t>
      </w:r>
      <w:r w:rsidRPr="004E2CA8">
        <w:rPr>
          <w:rFonts w:ascii="Palatino Linotype" w:hAnsi="Palatino Linotype"/>
          <w:i/>
          <w:iCs/>
          <w:color w:val="231F20"/>
          <w:sz w:val="20"/>
          <w:szCs w:val="20"/>
        </w:rPr>
        <w:t>Corporate Financial Structure in India</w:t>
      </w:r>
      <w:r w:rsidRPr="004E2CA8">
        <w:rPr>
          <w:rFonts w:ascii="Palatino Linotype" w:hAnsi="Palatino Linotype"/>
          <w:color w:val="231F20"/>
          <w:sz w:val="20"/>
          <w:szCs w:val="20"/>
        </w:rPr>
        <w:t xml:space="preserve">. </w:t>
      </w:r>
      <w:r w:rsidRPr="004E2CA8">
        <w:rPr>
          <w:rFonts w:ascii="Palatino Linotype" w:hAnsi="Palatino Linotype"/>
          <w:i/>
          <w:color w:val="231F20"/>
          <w:sz w:val="20"/>
          <w:szCs w:val="20"/>
        </w:rPr>
        <w:t>Economic Research Paper No. 02/4. Centre for International, Financial and Economics Research,</w:t>
      </w:r>
      <w:r w:rsidRPr="004E2CA8">
        <w:rPr>
          <w:rFonts w:ascii="Palatino Linotype" w:hAnsi="Palatino Linotype"/>
          <w:color w:val="231F20"/>
          <w:sz w:val="20"/>
          <w:szCs w:val="20"/>
        </w:rPr>
        <w:t xml:space="preserve"> Department of Economics, Loughborough University, Loughborough.</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pStyle w:val="NoSpacing"/>
        <w:ind w:left="709" w:hanging="709"/>
        <w:jc w:val="both"/>
        <w:rPr>
          <w:rFonts w:ascii="Palatino Linotype" w:hAnsi="Palatino Linotype"/>
          <w:sz w:val="20"/>
          <w:szCs w:val="20"/>
        </w:rPr>
      </w:pPr>
      <w:proofErr w:type="gramStart"/>
      <w:r w:rsidRPr="004E2CA8">
        <w:rPr>
          <w:rFonts w:ascii="Palatino Linotype" w:hAnsi="Palatino Linotype"/>
          <w:sz w:val="20"/>
          <w:szCs w:val="20"/>
        </w:rPr>
        <w:t>Jensen</w:t>
      </w:r>
      <w:r w:rsidRPr="004E2CA8">
        <w:rPr>
          <w:rFonts w:ascii="Palatino Linotype" w:hAnsi="Palatino Linotype"/>
          <w:sz w:val="20"/>
          <w:szCs w:val="20"/>
          <w:lang w:val="id-ID"/>
        </w:rPr>
        <w:t>;</w:t>
      </w:r>
      <w:r w:rsidRPr="004E2CA8">
        <w:rPr>
          <w:rFonts w:ascii="Palatino Linotype" w:hAnsi="Palatino Linotype"/>
          <w:sz w:val="20"/>
          <w:szCs w:val="20"/>
        </w:rPr>
        <w:t xml:space="preserve"> Meckling.1976.</w:t>
      </w:r>
      <w:proofErr w:type="gramEnd"/>
      <w:r w:rsidRPr="004E2CA8">
        <w:rPr>
          <w:rFonts w:ascii="Palatino Linotype" w:hAnsi="Palatino Linotype"/>
          <w:sz w:val="20"/>
          <w:szCs w:val="20"/>
        </w:rPr>
        <w:t xml:space="preserve"> “</w:t>
      </w:r>
      <w:r w:rsidRPr="004E2CA8">
        <w:rPr>
          <w:rFonts w:ascii="Palatino Linotype" w:hAnsi="Palatino Linotype"/>
          <w:i/>
          <w:sz w:val="20"/>
          <w:szCs w:val="20"/>
        </w:rPr>
        <w:t xml:space="preserve">Theory Of The Firm: </w:t>
      </w:r>
      <w:proofErr w:type="spellStart"/>
      <w:r w:rsidRPr="004E2CA8">
        <w:rPr>
          <w:rFonts w:ascii="Palatino Linotype" w:hAnsi="Palatino Linotype"/>
          <w:i/>
          <w:sz w:val="20"/>
          <w:szCs w:val="20"/>
        </w:rPr>
        <w:t>Manajerial</w:t>
      </w:r>
      <w:proofErr w:type="spellEnd"/>
      <w:r w:rsidRPr="004E2CA8">
        <w:rPr>
          <w:rFonts w:ascii="Palatino Linotype" w:hAnsi="Palatino Linotype"/>
          <w:i/>
          <w:sz w:val="20"/>
          <w:szCs w:val="20"/>
        </w:rPr>
        <w:t xml:space="preserve"> Behavior, Agency Cost </w:t>
      </w:r>
      <w:proofErr w:type="gramStart"/>
      <w:r w:rsidRPr="004E2CA8">
        <w:rPr>
          <w:rFonts w:ascii="Palatino Linotype" w:hAnsi="Palatino Linotype"/>
          <w:i/>
          <w:sz w:val="20"/>
          <w:szCs w:val="20"/>
        </w:rPr>
        <w:t>And</w:t>
      </w:r>
      <w:proofErr w:type="gramEnd"/>
      <w:r w:rsidRPr="004E2CA8">
        <w:rPr>
          <w:rFonts w:ascii="Palatino Linotype" w:hAnsi="Palatino Linotype"/>
          <w:i/>
          <w:sz w:val="20"/>
          <w:szCs w:val="20"/>
        </w:rPr>
        <w:t xml:space="preserve"> Ownership Structure</w:t>
      </w:r>
      <w:r w:rsidRPr="004E2CA8">
        <w:rPr>
          <w:rFonts w:ascii="Palatino Linotype" w:hAnsi="Palatino Linotype"/>
          <w:sz w:val="20"/>
          <w:szCs w:val="20"/>
        </w:rPr>
        <w:t xml:space="preserve">”, Journal of Financial Economics, </w:t>
      </w:r>
      <w:proofErr w:type="spellStart"/>
      <w:r w:rsidRPr="004E2CA8">
        <w:rPr>
          <w:rFonts w:ascii="Palatino Linotype" w:hAnsi="Palatino Linotype"/>
          <w:sz w:val="20"/>
          <w:szCs w:val="20"/>
        </w:rPr>
        <w:t>Vol</w:t>
      </w:r>
      <w:proofErr w:type="spellEnd"/>
      <w:r w:rsidRPr="004E2CA8">
        <w:rPr>
          <w:rFonts w:ascii="Palatino Linotype" w:hAnsi="Palatino Linotype"/>
          <w:sz w:val="20"/>
          <w:szCs w:val="20"/>
        </w:rPr>
        <w:t xml:space="preserve"> 3: 305-360</w:t>
      </w:r>
    </w:p>
    <w:p w:rsidR="0099672E" w:rsidRPr="004E2CA8" w:rsidRDefault="0099672E" w:rsidP="0099672E">
      <w:pPr>
        <w:pStyle w:val="NoSpacing"/>
        <w:ind w:left="709" w:hanging="709"/>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 xml:space="preserve">Johnsen T, Gjoelberg O., 2009. </w:t>
      </w:r>
      <w:r w:rsidRPr="004E2CA8">
        <w:rPr>
          <w:rFonts w:ascii="Palatino Linotype" w:hAnsi="Palatino Linotype"/>
          <w:i/>
          <w:sz w:val="20"/>
          <w:szCs w:val="20"/>
        </w:rPr>
        <w:t>Management of the norwegian oil fund: The challenges and costs of being ethical.</w:t>
      </w:r>
      <w:r w:rsidRPr="004E2CA8">
        <w:rPr>
          <w:rFonts w:ascii="Palatino Linotype" w:hAnsi="Palatino Linotype"/>
          <w:sz w:val="20"/>
          <w:szCs w:val="20"/>
        </w:rPr>
        <w:t xml:space="preserve"> Beta. Scandinavian Journal of Business Research </w:t>
      </w:r>
      <w:r w:rsidRPr="004E2CA8">
        <w:rPr>
          <w:rFonts w:ascii="Palatino Linotype" w:hAnsi="Palatino Linotype"/>
          <w:bCs/>
          <w:sz w:val="20"/>
          <w:szCs w:val="20"/>
        </w:rPr>
        <w:t>23</w:t>
      </w:r>
      <w:r w:rsidRPr="004E2CA8">
        <w:rPr>
          <w:rFonts w:ascii="Palatino Linotype" w:hAnsi="Palatino Linotype"/>
          <w:sz w:val="20"/>
          <w:szCs w:val="20"/>
        </w:rPr>
        <w:t>(2), pp. 1–26</w:t>
      </w:r>
    </w:p>
    <w:p w:rsidR="0099672E" w:rsidRPr="004E2CA8" w:rsidRDefault="0099672E" w:rsidP="0099672E">
      <w:pPr>
        <w:pStyle w:val="Default"/>
        <w:rPr>
          <w:rFonts w:ascii="Palatino Linotype" w:hAnsi="Palatino Linotype"/>
          <w:sz w:val="20"/>
          <w:szCs w:val="20"/>
          <w:lang w:val="id-ID"/>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 xml:space="preserve">Hampton, John J., 1990, </w:t>
      </w:r>
      <w:r w:rsidRPr="004E2CA8">
        <w:rPr>
          <w:rFonts w:ascii="Palatino Linotype" w:hAnsi="Palatino Linotype"/>
          <w:bCs/>
          <w:i/>
          <w:sz w:val="20"/>
          <w:szCs w:val="20"/>
        </w:rPr>
        <w:t>Financial Decision Making: Concepts, Problems, and Cases</w:t>
      </w:r>
      <w:r w:rsidRPr="004E2CA8">
        <w:rPr>
          <w:rFonts w:ascii="Palatino Linotype" w:hAnsi="Palatino Linotype"/>
          <w:i/>
          <w:sz w:val="20"/>
          <w:szCs w:val="20"/>
        </w:rPr>
        <w:t>,</w:t>
      </w:r>
      <w:r w:rsidRPr="004E2CA8">
        <w:rPr>
          <w:rFonts w:ascii="Palatino Linotype" w:hAnsi="Palatino Linotype"/>
          <w:sz w:val="20"/>
          <w:szCs w:val="20"/>
        </w:rPr>
        <w:t xml:space="preserve"> 4th edition, Prentice Hall, India.</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pStyle w:val="Default"/>
        <w:ind w:left="709" w:hanging="709"/>
        <w:jc w:val="both"/>
        <w:rPr>
          <w:rFonts w:ascii="Palatino Linotype" w:hAnsi="Palatino Linotype"/>
          <w:color w:val="auto"/>
          <w:sz w:val="20"/>
          <w:szCs w:val="20"/>
        </w:rPr>
      </w:pPr>
      <w:proofErr w:type="spellStart"/>
      <w:r w:rsidRPr="004E2CA8">
        <w:rPr>
          <w:rFonts w:ascii="Palatino Linotype" w:hAnsi="Palatino Linotype"/>
          <w:bCs/>
          <w:sz w:val="20"/>
          <w:szCs w:val="20"/>
        </w:rPr>
        <w:t>Khaira</w:t>
      </w:r>
      <w:proofErr w:type="spellEnd"/>
      <w:r w:rsidRPr="004E2CA8">
        <w:rPr>
          <w:rFonts w:ascii="Palatino Linotype" w:hAnsi="Palatino Linotype"/>
          <w:bCs/>
          <w:sz w:val="20"/>
          <w:szCs w:val="20"/>
        </w:rPr>
        <w:t xml:space="preserve"> </w:t>
      </w:r>
      <w:proofErr w:type="spellStart"/>
      <w:r w:rsidRPr="004E2CA8">
        <w:rPr>
          <w:rFonts w:ascii="Palatino Linotype" w:hAnsi="Palatino Linotype"/>
          <w:bCs/>
          <w:sz w:val="20"/>
          <w:szCs w:val="20"/>
        </w:rPr>
        <w:t>Amalia</w:t>
      </w:r>
      <w:proofErr w:type="spellEnd"/>
      <w:r w:rsidRPr="004E2CA8">
        <w:rPr>
          <w:rFonts w:ascii="Palatino Linotype" w:hAnsi="Palatino Linotype"/>
          <w:bCs/>
          <w:sz w:val="20"/>
          <w:szCs w:val="20"/>
        </w:rPr>
        <w:t xml:space="preserve"> </w:t>
      </w:r>
      <w:proofErr w:type="spellStart"/>
      <w:r w:rsidRPr="004E2CA8">
        <w:rPr>
          <w:rFonts w:ascii="Palatino Linotype" w:hAnsi="Palatino Linotype"/>
          <w:bCs/>
          <w:sz w:val="20"/>
          <w:szCs w:val="20"/>
        </w:rPr>
        <w:t>Fachrudin</w:t>
      </w:r>
      <w:proofErr w:type="spellEnd"/>
      <w:r w:rsidRPr="004E2CA8">
        <w:rPr>
          <w:rFonts w:ascii="Palatino Linotype" w:hAnsi="Palatino Linotype"/>
          <w:bCs/>
          <w:sz w:val="20"/>
          <w:szCs w:val="20"/>
        </w:rPr>
        <w:t xml:space="preserve">. </w:t>
      </w:r>
      <w:proofErr w:type="gramStart"/>
      <w:r w:rsidRPr="004E2CA8">
        <w:rPr>
          <w:rFonts w:ascii="Palatino Linotype" w:hAnsi="Palatino Linotype"/>
          <w:bCs/>
          <w:sz w:val="20"/>
          <w:szCs w:val="20"/>
        </w:rPr>
        <w:t xml:space="preserve">2011 </w:t>
      </w:r>
      <w:proofErr w:type="spellStart"/>
      <w:r w:rsidRPr="004E2CA8">
        <w:rPr>
          <w:rFonts w:ascii="Palatino Linotype" w:hAnsi="Palatino Linotype"/>
          <w:bCs/>
          <w:sz w:val="20"/>
          <w:szCs w:val="20"/>
        </w:rPr>
        <w:t>Analisis</w:t>
      </w:r>
      <w:proofErr w:type="spellEnd"/>
      <w:r w:rsidRPr="004E2CA8">
        <w:rPr>
          <w:rFonts w:ascii="Palatino Linotype" w:hAnsi="Palatino Linotype"/>
          <w:bCs/>
          <w:sz w:val="20"/>
          <w:szCs w:val="20"/>
        </w:rPr>
        <w:t xml:space="preserve"> </w:t>
      </w:r>
      <w:proofErr w:type="spellStart"/>
      <w:r w:rsidRPr="004E2CA8">
        <w:rPr>
          <w:rFonts w:ascii="Palatino Linotype" w:hAnsi="Palatino Linotype"/>
          <w:bCs/>
          <w:sz w:val="20"/>
          <w:szCs w:val="20"/>
        </w:rPr>
        <w:t>Pengaruh</w:t>
      </w:r>
      <w:proofErr w:type="spellEnd"/>
      <w:r w:rsidRPr="004E2CA8">
        <w:rPr>
          <w:rFonts w:ascii="Palatino Linotype" w:hAnsi="Palatino Linotype"/>
          <w:bCs/>
          <w:sz w:val="20"/>
          <w:szCs w:val="20"/>
        </w:rPr>
        <w:t xml:space="preserve"> </w:t>
      </w:r>
      <w:proofErr w:type="spellStart"/>
      <w:r w:rsidRPr="004E2CA8">
        <w:rPr>
          <w:rFonts w:ascii="Palatino Linotype" w:hAnsi="Palatino Linotype"/>
          <w:bCs/>
          <w:sz w:val="20"/>
          <w:szCs w:val="20"/>
        </w:rPr>
        <w:t>Struktur</w:t>
      </w:r>
      <w:proofErr w:type="spellEnd"/>
      <w:r w:rsidRPr="004E2CA8">
        <w:rPr>
          <w:rFonts w:ascii="Palatino Linotype" w:hAnsi="Palatino Linotype"/>
          <w:bCs/>
          <w:sz w:val="20"/>
          <w:szCs w:val="20"/>
        </w:rPr>
        <w:t xml:space="preserve"> Modal, </w:t>
      </w:r>
      <w:proofErr w:type="spellStart"/>
      <w:r w:rsidRPr="004E2CA8">
        <w:rPr>
          <w:rFonts w:ascii="Palatino Linotype" w:hAnsi="Palatino Linotype"/>
          <w:bCs/>
          <w:sz w:val="20"/>
          <w:szCs w:val="20"/>
        </w:rPr>
        <w:t>Ukuran</w:t>
      </w:r>
      <w:proofErr w:type="spellEnd"/>
      <w:r w:rsidRPr="004E2CA8">
        <w:rPr>
          <w:rFonts w:ascii="Palatino Linotype" w:hAnsi="Palatino Linotype"/>
          <w:bCs/>
          <w:sz w:val="20"/>
          <w:szCs w:val="20"/>
        </w:rPr>
        <w:t xml:space="preserve"> Perusahaan, </w:t>
      </w:r>
      <w:proofErr w:type="spellStart"/>
      <w:r w:rsidRPr="004E2CA8">
        <w:rPr>
          <w:rFonts w:ascii="Palatino Linotype" w:hAnsi="Palatino Linotype"/>
          <w:bCs/>
          <w:sz w:val="20"/>
          <w:szCs w:val="20"/>
        </w:rPr>
        <w:t>dan</w:t>
      </w:r>
      <w:proofErr w:type="spellEnd"/>
      <w:r w:rsidRPr="004E2CA8">
        <w:rPr>
          <w:rFonts w:ascii="Palatino Linotype" w:hAnsi="Palatino Linotype"/>
          <w:bCs/>
          <w:sz w:val="20"/>
          <w:szCs w:val="20"/>
        </w:rPr>
        <w:t xml:space="preserve"> </w:t>
      </w:r>
      <w:r w:rsidRPr="004E2CA8">
        <w:rPr>
          <w:rFonts w:ascii="Palatino Linotype" w:hAnsi="Palatino Linotype"/>
          <w:bCs/>
          <w:i/>
          <w:iCs/>
          <w:sz w:val="20"/>
          <w:szCs w:val="20"/>
        </w:rPr>
        <w:t xml:space="preserve">Agency Cost </w:t>
      </w:r>
      <w:proofErr w:type="spellStart"/>
      <w:r w:rsidRPr="004E2CA8">
        <w:rPr>
          <w:rFonts w:ascii="Palatino Linotype" w:hAnsi="Palatino Linotype"/>
          <w:bCs/>
          <w:sz w:val="20"/>
          <w:szCs w:val="20"/>
        </w:rPr>
        <w:t>Terhadap</w:t>
      </w:r>
      <w:proofErr w:type="spellEnd"/>
      <w:r w:rsidRPr="004E2CA8">
        <w:rPr>
          <w:rFonts w:ascii="Palatino Linotype" w:hAnsi="Palatino Linotype"/>
          <w:bCs/>
          <w:sz w:val="20"/>
          <w:szCs w:val="20"/>
        </w:rPr>
        <w:t xml:space="preserve"> </w:t>
      </w:r>
      <w:proofErr w:type="spellStart"/>
      <w:r w:rsidRPr="004E2CA8">
        <w:rPr>
          <w:rFonts w:ascii="Palatino Linotype" w:hAnsi="Palatino Linotype"/>
          <w:bCs/>
          <w:sz w:val="20"/>
          <w:szCs w:val="20"/>
        </w:rPr>
        <w:t>Kinerja</w:t>
      </w:r>
      <w:proofErr w:type="spellEnd"/>
      <w:r w:rsidRPr="004E2CA8">
        <w:rPr>
          <w:rFonts w:ascii="Palatino Linotype" w:hAnsi="Palatino Linotype"/>
          <w:bCs/>
          <w:sz w:val="20"/>
          <w:szCs w:val="20"/>
        </w:rPr>
        <w:t xml:space="preserve"> Perusahaan.</w:t>
      </w:r>
      <w:proofErr w:type="gramEnd"/>
      <w:r w:rsidRPr="004E2CA8">
        <w:rPr>
          <w:rFonts w:ascii="Palatino Linotype" w:hAnsi="Palatino Linotype"/>
          <w:bCs/>
          <w:sz w:val="20"/>
          <w:szCs w:val="20"/>
        </w:rPr>
        <w:t xml:space="preserve"> </w:t>
      </w:r>
      <w:r w:rsidRPr="004E2CA8">
        <w:rPr>
          <w:rFonts w:ascii="Palatino Linotype" w:hAnsi="Palatino Linotype"/>
          <w:bCs/>
          <w:color w:val="auto"/>
          <w:sz w:val="20"/>
          <w:szCs w:val="20"/>
        </w:rPr>
        <w:t>(</w:t>
      </w:r>
      <w:hyperlink r:id="rId17" w:history="1">
        <w:r w:rsidRPr="004E2CA8">
          <w:rPr>
            <w:rStyle w:val="Hyperlink"/>
            <w:rFonts w:ascii="Palatino Linotype" w:hAnsi="Palatino Linotype"/>
            <w:color w:val="auto"/>
            <w:sz w:val="20"/>
            <w:szCs w:val="20"/>
          </w:rPr>
          <w:t>http://puslit2.petra.ac.id/ejournal/index.php/aku/article/download/18237/18105</w:t>
        </w:r>
      </w:hyperlink>
      <w:r w:rsidRPr="004E2CA8">
        <w:rPr>
          <w:rFonts w:ascii="Palatino Linotype" w:hAnsi="Palatino Linotype"/>
          <w:color w:val="auto"/>
          <w:sz w:val="20"/>
          <w:szCs w:val="20"/>
        </w:rPr>
        <w:t>)</w:t>
      </w:r>
    </w:p>
    <w:p w:rsidR="0099672E" w:rsidRPr="004E2CA8" w:rsidRDefault="0099672E" w:rsidP="0099672E">
      <w:pPr>
        <w:pStyle w:val="Default"/>
        <w:ind w:left="709" w:hanging="709"/>
        <w:jc w:val="both"/>
        <w:rPr>
          <w:rFonts w:ascii="Palatino Linotype" w:hAnsi="Palatino Linotype"/>
          <w:color w:val="auto"/>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color w:val="000000"/>
          <w:sz w:val="20"/>
          <w:szCs w:val="20"/>
          <w:u w:val="single"/>
        </w:rPr>
      </w:pPr>
      <w:r w:rsidRPr="004E2CA8">
        <w:rPr>
          <w:rFonts w:ascii="Palatino Linotype" w:hAnsi="Palatino Linotype"/>
          <w:bCs/>
          <w:sz w:val="20"/>
          <w:szCs w:val="20"/>
        </w:rPr>
        <w:t>Khalil-Ur-Rehma</w:t>
      </w:r>
      <w:r w:rsidRPr="004E2CA8">
        <w:rPr>
          <w:rFonts w:ascii="Palatino Linotype" w:hAnsi="Palatino Linotype"/>
          <w:bCs/>
          <w:color w:val="000000"/>
          <w:sz w:val="20"/>
          <w:szCs w:val="20"/>
        </w:rPr>
        <w:t>n Wahla, Syed Zulfiqar Ali Shah, and Zahid Hussain. 2012. “</w:t>
      </w:r>
      <w:r w:rsidRPr="004E2CA8">
        <w:rPr>
          <w:rFonts w:ascii="Palatino Linotype" w:hAnsi="Palatino Linotype"/>
          <w:bCs/>
          <w:i/>
          <w:color w:val="000000"/>
          <w:sz w:val="20"/>
          <w:szCs w:val="20"/>
        </w:rPr>
        <w:t>Impact of Ownership Structure on Firm Performance Evidence from Non-Financial Listed Companies at Karachi Stock Exchange”</w:t>
      </w:r>
      <w:r w:rsidRPr="004E2CA8">
        <w:rPr>
          <w:rFonts w:ascii="Palatino Linotype" w:hAnsi="Palatino Linotype"/>
          <w:bCs/>
          <w:color w:val="000000"/>
          <w:sz w:val="20"/>
          <w:szCs w:val="20"/>
        </w:rPr>
        <w:t xml:space="preserve">. </w:t>
      </w:r>
      <w:r w:rsidRPr="004E2CA8">
        <w:rPr>
          <w:rFonts w:ascii="Palatino Linotype" w:hAnsi="Palatino Linotype"/>
          <w:color w:val="000000"/>
          <w:sz w:val="20"/>
          <w:szCs w:val="20"/>
        </w:rPr>
        <w:t>International Research Journal of Finance and Economics. ISSN 1450-2887 Issue 84 (2012). © Euro Journals Publishing, Inc. 2012. (</w:t>
      </w:r>
      <w:r w:rsidRPr="004E2CA8">
        <w:rPr>
          <w:rFonts w:ascii="Palatino Linotype" w:hAnsi="Palatino Linotype"/>
          <w:color w:val="000000"/>
          <w:sz w:val="20"/>
          <w:szCs w:val="20"/>
          <w:u w:val="single"/>
        </w:rPr>
        <w:fldChar w:fldCharType="begin"/>
      </w:r>
      <w:r w:rsidRPr="004E2CA8">
        <w:rPr>
          <w:rFonts w:ascii="Palatino Linotype" w:hAnsi="Palatino Linotype"/>
          <w:color w:val="000000"/>
          <w:sz w:val="20"/>
          <w:szCs w:val="20"/>
          <w:u w:val="single"/>
        </w:rPr>
        <w:instrText xml:space="preserve"> HYPERLINK "http://www.internationalresearchjournalof financeandeconomics.com" </w:instrText>
      </w:r>
      <w:r w:rsidRPr="004E2CA8">
        <w:rPr>
          <w:rFonts w:ascii="Palatino Linotype" w:hAnsi="Palatino Linotype"/>
          <w:color w:val="000000"/>
          <w:sz w:val="20"/>
          <w:szCs w:val="20"/>
          <w:u w:val="single"/>
        </w:rPr>
        <w:fldChar w:fldCharType="separate"/>
      </w:r>
      <w:r w:rsidRPr="004E2CA8">
        <w:rPr>
          <w:rStyle w:val="Hyperlink"/>
          <w:rFonts w:ascii="Palatino Linotype" w:hAnsi="Palatino Linotype"/>
          <w:color w:val="000000"/>
          <w:sz w:val="20"/>
          <w:szCs w:val="20"/>
        </w:rPr>
        <w:t>http://www.internationalresearchjournalof financeandeconomics.com</w:t>
      </w:r>
      <w:r w:rsidRPr="004E2CA8">
        <w:rPr>
          <w:rFonts w:ascii="Palatino Linotype" w:hAnsi="Palatino Linotype"/>
          <w:color w:val="000000"/>
          <w:sz w:val="20"/>
          <w:szCs w:val="20"/>
          <w:u w:val="single"/>
        </w:rPr>
        <w:fldChar w:fldCharType="end"/>
      </w:r>
      <w:r w:rsidRPr="004E2CA8">
        <w:rPr>
          <w:rFonts w:ascii="Palatino Linotype" w:hAnsi="Palatino Linotype"/>
          <w:color w:val="000000"/>
          <w:sz w:val="20"/>
          <w:szCs w:val="20"/>
          <w:u w:val="single"/>
        </w:rPr>
        <w:t>)</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color w:val="000000"/>
          <w:sz w:val="20"/>
          <w:szCs w:val="20"/>
          <w:u w:val="single"/>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i/>
          <w:iCs/>
          <w:color w:val="000000"/>
          <w:sz w:val="20"/>
          <w:szCs w:val="20"/>
          <w:u w:val="single"/>
        </w:rPr>
      </w:pPr>
      <w:r w:rsidRPr="004E2CA8">
        <w:rPr>
          <w:rFonts w:ascii="Palatino Linotype" w:hAnsi="Palatino Linotype"/>
          <w:color w:val="000000"/>
          <w:sz w:val="20"/>
          <w:szCs w:val="20"/>
        </w:rPr>
        <w:t xml:space="preserve">Kusumasari, Artini, dan Nitiyasa. 2010. Pengaruh Risiko Bisnis, Pertumbuhan Aset, Dan Struktur Modal Terhadap Kinerja Keuangan di PT Telekomunikasi Selular. </w:t>
      </w:r>
      <w:r w:rsidRPr="004E2CA8">
        <w:rPr>
          <w:rFonts w:ascii="Palatino Linotype" w:hAnsi="Palatino Linotype"/>
          <w:i/>
          <w:iCs/>
          <w:color w:val="000000"/>
          <w:sz w:val="20"/>
          <w:szCs w:val="20"/>
        </w:rPr>
        <w:t>Jurnal</w:t>
      </w:r>
      <w:r w:rsidRPr="004E2CA8">
        <w:rPr>
          <w:rFonts w:ascii="Palatino Linotype" w:hAnsi="Palatino Linotype"/>
          <w:color w:val="000000"/>
          <w:sz w:val="20"/>
          <w:szCs w:val="20"/>
        </w:rPr>
        <w:t xml:space="preserve">. (online). </w:t>
      </w:r>
      <w:r w:rsidRPr="004E2CA8">
        <w:rPr>
          <w:rFonts w:ascii="Palatino Linotype" w:hAnsi="Palatino Linotype"/>
          <w:color w:val="000000"/>
          <w:sz w:val="20"/>
          <w:szCs w:val="20"/>
          <w:u w:val="single"/>
        </w:rPr>
        <w:t>(</w:t>
      </w:r>
      <w:hyperlink r:id="rId18" w:history="1">
        <w:r w:rsidRPr="004E2CA8">
          <w:rPr>
            <w:rStyle w:val="Hyperlink"/>
            <w:rFonts w:ascii="Palatino Linotype" w:hAnsi="Palatino Linotype"/>
            <w:i/>
            <w:iCs/>
            <w:color w:val="000000"/>
            <w:sz w:val="20"/>
            <w:szCs w:val="20"/>
          </w:rPr>
          <w:t>www.google.com</w:t>
        </w:r>
      </w:hyperlink>
      <w:r w:rsidRPr="004E2CA8">
        <w:rPr>
          <w:rFonts w:ascii="Palatino Linotype" w:hAnsi="Palatino Linotype"/>
          <w:i/>
          <w:iCs/>
          <w:color w:val="000000"/>
          <w:sz w:val="20"/>
          <w:szCs w:val="20"/>
          <w:u w:val="single"/>
        </w:rPr>
        <w:t>)</w:t>
      </w:r>
    </w:p>
    <w:p w:rsidR="0099672E" w:rsidRPr="004E2CA8" w:rsidRDefault="0099672E" w:rsidP="0099672E">
      <w:pPr>
        <w:pStyle w:val="NoSpacing"/>
        <w:jc w:val="both"/>
        <w:rPr>
          <w:rFonts w:ascii="Palatino Linotype" w:hAnsi="Palatino Linotype"/>
          <w:color w:val="000000"/>
          <w:sz w:val="20"/>
          <w:szCs w:val="20"/>
          <w:lang w:val="id-ID"/>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 xml:space="preserve">Modigliani, F. and Miller, M.H. (1958). </w:t>
      </w:r>
      <w:r w:rsidRPr="004E2CA8">
        <w:rPr>
          <w:rFonts w:ascii="Palatino Linotype" w:hAnsi="Palatino Linotype"/>
          <w:i/>
          <w:sz w:val="20"/>
          <w:szCs w:val="20"/>
        </w:rPr>
        <w:t>The cost of capital, corporation finance and the theory of investment.</w:t>
      </w:r>
      <w:r w:rsidRPr="004E2CA8">
        <w:rPr>
          <w:rFonts w:ascii="Palatino Linotype" w:hAnsi="Palatino Linotype"/>
          <w:sz w:val="20"/>
          <w:szCs w:val="20"/>
        </w:rPr>
        <w:t xml:space="preserve"> </w:t>
      </w:r>
      <w:r w:rsidRPr="004E2CA8">
        <w:rPr>
          <w:rFonts w:ascii="Palatino Linotype" w:hAnsi="Palatino Linotype"/>
          <w:i/>
          <w:iCs/>
          <w:sz w:val="20"/>
          <w:szCs w:val="20"/>
        </w:rPr>
        <w:t>American Economic Review</w:t>
      </w:r>
      <w:r w:rsidRPr="004E2CA8">
        <w:rPr>
          <w:rFonts w:ascii="Palatino Linotype" w:hAnsi="Palatino Linotype"/>
          <w:sz w:val="20"/>
          <w:szCs w:val="20"/>
        </w:rPr>
        <w:t>. 47(3): 261-297.</w:t>
      </w:r>
    </w:p>
    <w:p w:rsidR="0099672E" w:rsidRPr="004E2CA8" w:rsidRDefault="0099672E" w:rsidP="0099672E">
      <w:pPr>
        <w:pStyle w:val="Default"/>
        <w:jc w:val="both"/>
        <w:rPr>
          <w:rFonts w:ascii="Palatino Linotype" w:hAnsi="Palatino Linotype"/>
          <w:bCs/>
          <w:sz w:val="20"/>
          <w:szCs w:val="20"/>
          <w:lang w:val="id-ID"/>
        </w:rPr>
      </w:pPr>
    </w:p>
    <w:p w:rsidR="0099672E" w:rsidRPr="004E2CA8" w:rsidRDefault="0099672E" w:rsidP="0099672E">
      <w:pPr>
        <w:spacing w:after="0" w:line="240" w:lineRule="auto"/>
        <w:ind w:left="709" w:hanging="709"/>
        <w:jc w:val="both"/>
        <w:rPr>
          <w:rFonts w:ascii="Palatino Linotype" w:hAnsi="Palatino Linotype"/>
          <w:color w:val="000000"/>
          <w:sz w:val="20"/>
          <w:szCs w:val="20"/>
          <w:u w:val="single"/>
        </w:rPr>
      </w:pPr>
      <w:r w:rsidRPr="004E2CA8">
        <w:rPr>
          <w:rFonts w:ascii="Palatino Linotype" w:hAnsi="Palatino Linotype"/>
          <w:bCs/>
          <w:sz w:val="20"/>
          <w:szCs w:val="20"/>
        </w:rPr>
        <w:t xml:space="preserve">Onaolapo and Kajola. 2010. </w:t>
      </w:r>
      <w:r w:rsidRPr="004E2CA8">
        <w:rPr>
          <w:rFonts w:ascii="Palatino Linotype" w:hAnsi="Palatino Linotype"/>
          <w:bCs/>
          <w:i/>
          <w:sz w:val="20"/>
          <w:szCs w:val="20"/>
        </w:rPr>
        <w:t>“Capital Structure and firm Performance: Evidence from Nigeria”</w:t>
      </w:r>
      <w:r w:rsidRPr="004E2CA8">
        <w:rPr>
          <w:rFonts w:ascii="Palatino Linotype" w:hAnsi="Palatino Linotype"/>
          <w:bCs/>
          <w:sz w:val="20"/>
          <w:szCs w:val="20"/>
        </w:rPr>
        <w:t xml:space="preserve"> </w:t>
      </w:r>
      <w:r w:rsidRPr="004E2CA8">
        <w:rPr>
          <w:rFonts w:ascii="Palatino Linotype" w:hAnsi="Palatino Linotype"/>
          <w:sz w:val="20"/>
          <w:szCs w:val="20"/>
        </w:rPr>
        <w:t>European Journal of Economics, Finance and Administrative Sciences. ISSN 1450-2275 Issue 25 (2010). © EuroJournals, Inc. 2010.</w:t>
      </w:r>
      <w:r w:rsidRPr="004E2CA8">
        <w:rPr>
          <w:rFonts w:ascii="Palatino Linotype" w:hAnsi="Palatino Linotype"/>
          <w:sz w:val="20"/>
          <w:szCs w:val="20"/>
          <w:u w:val="single"/>
        </w:rPr>
        <w:t>(</w:t>
      </w:r>
      <w:r w:rsidRPr="004E2CA8">
        <w:rPr>
          <w:rFonts w:ascii="Palatino Linotype" w:hAnsi="Palatino Linotype"/>
          <w:color w:val="000000"/>
          <w:sz w:val="20"/>
          <w:szCs w:val="20"/>
          <w:u w:val="single"/>
        </w:rPr>
        <w:fldChar w:fldCharType="begin"/>
      </w:r>
      <w:r w:rsidRPr="004E2CA8">
        <w:rPr>
          <w:rFonts w:ascii="Palatino Linotype" w:hAnsi="Palatino Linotype"/>
          <w:color w:val="000000"/>
          <w:sz w:val="20"/>
          <w:szCs w:val="20"/>
          <w:u w:val="single"/>
        </w:rPr>
        <w:instrText xml:space="preserve"> HYPERLINK "http://www.eurojournals.com" </w:instrText>
      </w:r>
      <w:r w:rsidRPr="004E2CA8">
        <w:rPr>
          <w:rFonts w:ascii="Palatino Linotype" w:hAnsi="Palatino Linotype"/>
          <w:color w:val="000000"/>
          <w:sz w:val="20"/>
          <w:szCs w:val="20"/>
          <w:u w:val="single"/>
        </w:rPr>
        <w:fldChar w:fldCharType="separate"/>
      </w:r>
      <w:r w:rsidRPr="004E2CA8">
        <w:rPr>
          <w:rStyle w:val="Hyperlink"/>
          <w:rFonts w:ascii="Palatino Linotype" w:hAnsi="Palatino Linotype"/>
          <w:color w:val="000000"/>
          <w:sz w:val="20"/>
          <w:szCs w:val="20"/>
        </w:rPr>
        <w:t>http://www.eurojournals.com</w:t>
      </w:r>
      <w:r w:rsidRPr="004E2CA8">
        <w:rPr>
          <w:rFonts w:ascii="Palatino Linotype" w:hAnsi="Palatino Linotype"/>
          <w:color w:val="000000"/>
          <w:sz w:val="20"/>
          <w:szCs w:val="20"/>
          <w:u w:val="single"/>
        </w:rPr>
        <w:fldChar w:fldCharType="end"/>
      </w:r>
      <w:r w:rsidRPr="004E2CA8">
        <w:rPr>
          <w:rFonts w:ascii="Palatino Linotype" w:hAnsi="Palatino Linotype"/>
          <w:color w:val="000000"/>
          <w:sz w:val="20"/>
          <w:szCs w:val="20"/>
          <w:u w:val="single"/>
        </w:rPr>
        <w:t>)</w:t>
      </w:r>
    </w:p>
    <w:p w:rsidR="0099672E" w:rsidRPr="004E2CA8" w:rsidRDefault="0099672E" w:rsidP="0099672E">
      <w:pPr>
        <w:spacing w:after="0" w:line="240" w:lineRule="auto"/>
        <w:jc w:val="both"/>
        <w:rPr>
          <w:rStyle w:val="judul1"/>
          <w:rFonts w:ascii="Palatino Linotype" w:hAnsi="Palatino Linotype"/>
          <w:b w:val="0"/>
          <w:bCs w:val="0"/>
          <w:sz w:val="20"/>
          <w:szCs w:val="20"/>
        </w:rPr>
      </w:pPr>
    </w:p>
    <w:p w:rsidR="0099672E" w:rsidRPr="004E2CA8" w:rsidRDefault="0099672E" w:rsidP="0099672E">
      <w:pPr>
        <w:spacing w:after="0" w:line="240" w:lineRule="auto"/>
        <w:ind w:left="709" w:hanging="709"/>
        <w:jc w:val="both"/>
        <w:rPr>
          <w:rFonts w:ascii="Palatino Linotype" w:hAnsi="Palatino Linotype"/>
          <w:bCs/>
          <w:color w:val="000000"/>
          <w:sz w:val="20"/>
          <w:szCs w:val="20"/>
          <w:u w:val="single"/>
        </w:rPr>
      </w:pPr>
      <w:r w:rsidRPr="004E2CA8">
        <w:rPr>
          <w:rFonts w:ascii="Palatino Linotype" w:hAnsi="Palatino Linotype"/>
          <w:bCs/>
          <w:iCs/>
          <w:sz w:val="20"/>
          <w:szCs w:val="20"/>
        </w:rPr>
        <w:t xml:space="preserve">Puwanenthiren Pratheepkanth. 2011. </w:t>
      </w:r>
      <w:r w:rsidRPr="004E2CA8">
        <w:rPr>
          <w:rFonts w:ascii="Palatino Linotype" w:hAnsi="Palatino Linotype"/>
          <w:sz w:val="20"/>
          <w:szCs w:val="20"/>
        </w:rPr>
        <w:t>“</w:t>
      </w:r>
      <w:r w:rsidRPr="004E2CA8">
        <w:rPr>
          <w:rFonts w:ascii="Palatino Linotype" w:hAnsi="Palatino Linotype"/>
          <w:i/>
          <w:sz w:val="20"/>
          <w:szCs w:val="20"/>
        </w:rPr>
        <w:t>Capital Structure and Financial Performance: Evidence From Selected Business Companies in Colombo Stock Exchange Sri Langka</w:t>
      </w:r>
      <w:r w:rsidRPr="004E2CA8">
        <w:rPr>
          <w:rFonts w:ascii="Palatino Linotype" w:hAnsi="Palatino Linotype"/>
          <w:sz w:val="20"/>
          <w:szCs w:val="20"/>
        </w:rPr>
        <w:t>”.</w:t>
      </w:r>
      <w:r w:rsidRPr="004E2CA8">
        <w:rPr>
          <w:rFonts w:ascii="Palatino Linotype" w:hAnsi="Palatino Linotype"/>
          <w:bCs/>
          <w:iCs/>
          <w:sz w:val="20"/>
          <w:szCs w:val="20"/>
        </w:rPr>
        <w:t xml:space="preserve"> </w:t>
      </w:r>
      <w:r w:rsidRPr="004E2CA8">
        <w:rPr>
          <w:rFonts w:ascii="Palatino Linotype" w:hAnsi="Palatino Linotype"/>
          <w:color w:val="000000"/>
          <w:sz w:val="20"/>
          <w:szCs w:val="20"/>
        </w:rPr>
        <w:t>International Refereed Research Journal Vol.– II, Issue –2,April 2011</w:t>
      </w:r>
      <w:r w:rsidRPr="004E2CA8">
        <w:rPr>
          <w:rFonts w:ascii="Palatino Linotype" w:hAnsi="Palatino Linotype"/>
          <w:bCs/>
          <w:color w:val="000000"/>
          <w:sz w:val="20"/>
          <w:szCs w:val="20"/>
        </w:rPr>
        <w:t xml:space="preserve">. </w:t>
      </w:r>
      <w:r w:rsidRPr="004E2CA8">
        <w:rPr>
          <w:rFonts w:ascii="Palatino Linotype" w:hAnsi="Palatino Linotype"/>
          <w:sz w:val="20"/>
          <w:szCs w:val="20"/>
        </w:rPr>
        <w:t xml:space="preserve">Journal of Arts, Science &amp; Commerce. </w:t>
      </w:r>
      <w:r w:rsidRPr="004E2CA8">
        <w:rPr>
          <w:rFonts w:ascii="Palatino Linotype" w:hAnsi="Palatino Linotype"/>
          <w:bCs/>
          <w:sz w:val="20"/>
          <w:szCs w:val="20"/>
        </w:rPr>
        <w:t xml:space="preserve">E-ISSN 2229-4686. ISSN 2231-4172. </w:t>
      </w:r>
      <w:r w:rsidRPr="004E2CA8">
        <w:rPr>
          <w:rFonts w:ascii="Palatino Linotype" w:hAnsi="Palatino Linotype"/>
          <w:bCs/>
          <w:sz w:val="20"/>
          <w:szCs w:val="20"/>
          <w:u w:val="single"/>
        </w:rPr>
        <w:t>(</w:t>
      </w:r>
      <w:r w:rsidRPr="004E2CA8">
        <w:rPr>
          <w:rFonts w:ascii="Palatino Linotype" w:hAnsi="Palatino Linotype"/>
          <w:bCs/>
          <w:color w:val="000000"/>
          <w:sz w:val="20"/>
          <w:szCs w:val="20"/>
          <w:u w:val="single"/>
        </w:rPr>
        <w:t>www.researchers wor</w:t>
      </w:r>
      <w:r w:rsidRPr="004E2CA8">
        <w:rPr>
          <w:rFonts w:ascii="Palatino Linotype" w:hAnsi="Palatino Linotype"/>
          <w:bCs/>
          <w:color w:val="C1C1C1"/>
          <w:sz w:val="20"/>
          <w:szCs w:val="20"/>
          <w:u w:val="single"/>
        </w:rPr>
        <w:t>l</w:t>
      </w:r>
      <w:r w:rsidRPr="004E2CA8">
        <w:rPr>
          <w:rFonts w:ascii="Palatino Linotype" w:hAnsi="Palatino Linotype"/>
          <w:bCs/>
          <w:color w:val="000000"/>
          <w:sz w:val="20"/>
          <w:szCs w:val="20"/>
          <w:u w:val="single"/>
        </w:rPr>
        <w:t>ld.com)</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i/>
          <w:iCs/>
          <w:sz w:val="20"/>
          <w:szCs w:val="20"/>
        </w:rPr>
      </w:pPr>
      <w:r w:rsidRPr="004E2CA8">
        <w:rPr>
          <w:rFonts w:ascii="Palatino Linotype" w:hAnsi="Palatino Linotype"/>
          <w:sz w:val="20"/>
          <w:szCs w:val="20"/>
        </w:rPr>
        <w:t xml:space="preserve">Safrida, Eli. 2008. Pengaruh Struktur Modal dan Pertumbuhan Perusahaan Terhadap Nilai Perusahaan Pada Perusahaan Manufaktur Di Bursa Efek Jakarta. </w:t>
      </w:r>
      <w:r w:rsidRPr="004E2CA8">
        <w:rPr>
          <w:rFonts w:ascii="Palatino Linotype" w:hAnsi="Palatino Linotype"/>
          <w:i/>
          <w:iCs/>
          <w:sz w:val="20"/>
          <w:szCs w:val="20"/>
        </w:rPr>
        <w:t>Thesis.</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pStyle w:val="Default"/>
        <w:ind w:left="709" w:hanging="709"/>
        <w:jc w:val="both"/>
        <w:rPr>
          <w:rFonts w:ascii="Palatino Linotype" w:hAnsi="Palatino Linotype"/>
          <w:color w:val="auto"/>
          <w:sz w:val="20"/>
          <w:szCs w:val="20"/>
        </w:rPr>
      </w:pPr>
      <w:proofErr w:type="spellStart"/>
      <w:r w:rsidRPr="004E2CA8">
        <w:rPr>
          <w:rFonts w:ascii="Palatino Linotype" w:hAnsi="Palatino Linotype"/>
          <w:sz w:val="20"/>
          <w:szCs w:val="20"/>
        </w:rPr>
        <w:t>Sanghoon</w:t>
      </w:r>
      <w:proofErr w:type="spellEnd"/>
      <w:r w:rsidRPr="004E2CA8">
        <w:rPr>
          <w:rFonts w:ascii="Palatino Linotype" w:hAnsi="Palatino Linotype"/>
          <w:sz w:val="20"/>
          <w:szCs w:val="20"/>
        </w:rPr>
        <w:t xml:space="preserve"> Lee. 2008. </w:t>
      </w:r>
      <w:r w:rsidRPr="004E2CA8">
        <w:rPr>
          <w:rFonts w:ascii="Palatino Linotype" w:hAnsi="Palatino Linotype"/>
          <w:i/>
          <w:sz w:val="20"/>
          <w:szCs w:val="20"/>
        </w:rPr>
        <w:t>“Ownership Structure and Financial Performance: Evidence from Panel Data of South Korea”</w:t>
      </w:r>
      <w:r w:rsidRPr="004E2CA8">
        <w:rPr>
          <w:rFonts w:ascii="Palatino Linotype" w:hAnsi="Palatino Linotype"/>
          <w:bCs/>
          <w:sz w:val="20"/>
          <w:szCs w:val="20"/>
        </w:rPr>
        <w:t xml:space="preserve">. </w:t>
      </w:r>
      <w:proofErr w:type="gramStart"/>
      <w:r w:rsidRPr="004E2CA8">
        <w:rPr>
          <w:rFonts w:ascii="Palatino Linotype" w:hAnsi="Palatino Linotype"/>
          <w:bCs/>
          <w:sz w:val="20"/>
          <w:szCs w:val="20"/>
        </w:rPr>
        <w:t>SSRN-id1279919.</w:t>
      </w:r>
      <w:proofErr w:type="gramEnd"/>
      <w:r w:rsidRPr="004E2CA8">
        <w:rPr>
          <w:rFonts w:ascii="Palatino Linotype" w:hAnsi="Palatino Linotype"/>
          <w:bCs/>
          <w:sz w:val="20"/>
          <w:szCs w:val="20"/>
          <w:lang w:val="id-ID"/>
        </w:rPr>
        <w:t xml:space="preserve"> </w:t>
      </w:r>
      <w:r w:rsidRPr="004E2CA8">
        <w:rPr>
          <w:rFonts w:ascii="Palatino Linotype" w:hAnsi="Palatino Linotype"/>
          <w:sz w:val="20"/>
          <w:szCs w:val="20"/>
        </w:rPr>
        <w:t>(</w:t>
      </w:r>
      <w:hyperlink r:id="rId19" w:history="1">
        <w:r w:rsidRPr="004E2CA8">
          <w:rPr>
            <w:rStyle w:val="Hyperlink"/>
            <w:rFonts w:ascii="Palatino Linotype" w:hAnsi="Palatino Linotype"/>
            <w:color w:val="auto"/>
            <w:sz w:val="20"/>
            <w:szCs w:val="20"/>
          </w:rPr>
          <w:t>http://ssrn.com/abstract=1279919</w:t>
        </w:r>
      </w:hyperlink>
      <w:r w:rsidRPr="004E2CA8">
        <w:rPr>
          <w:rFonts w:ascii="Palatino Linotype" w:hAnsi="Palatino Linotype"/>
          <w:color w:val="auto"/>
          <w:sz w:val="20"/>
          <w:szCs w:val="20"/>
        </w:rPr>
        <w:t>)</w:t>
      </w:r>
    </w:p>
    <w:p w:rsidR="0099672E" w:rsidRPr="004E2CA8" w:rsidRDefault="0099672E" w:rsidP="0099672E">
      <w:pPr>
        <w:pStyle w:val="Default"/>
        <w:ind w:left="709" w:hanging="709"/>
        <w:jc w:val="both"/>
        <w:rPr>
          <w:rFonts w:ascii="Palatino Linotype" w:hAnsi="Palatino Linotype"/>
          <w:color w:val="auto"/>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 xml:space="preserve">Sudarmadji, Murdoko, dan Sularto. 2007. Pengaruh Ukuran Perusahaaan, Profitabilitas, Leverage, dan Tipe Kepemilikan terhadap Voluntary Disclosure Laporan Keuangan Tahunan. </w:t>
      </w:r>
      <w:r w:rsidRPr="004E2CA8">
        <w:rPr>
          <w:rFonts w:ascii="Palatino Linotype" w:hAnsi="Palatino Linotype"/>
          <w:i/>
          <w:iCs/>
          <w:sz w:val="20"/>
          <w:szCs w:val="20"/>
        </w:rPr>
        <w:t xml:space="preserve">Procedding PESAT, </w:t>
      </w:r>
      <w:r w:rsidRPr="004E2CA8">
        <w:rPr>
          <w:rFonts w:ascii="Palatino Linotype" w:hAnsi="Palatino Linotype"/>
          <w:sz w:val="20"/>
          <w:szCs w:val="20"/>
        </w:rPr>
        <w:t>vol. 2, 21-22 Agustus 2007. Auditorium Kampus Gunadarma.</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Sutrisno. 2009. Manajemen Keuangan. Teori, Konsep, dan Aplikasi: Edisi Revisi. Ekonisia. Yogyakarta.</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i/>
          <w:iCs/>
          <w:sz w:val="20"/>
          <w:szCs w:val="20"/>
        </w:rPr>
      </w:pPr>
      <w:r w:rsidRPr="004E2CA8">
        <w:rPr>
          <w:rFonts w:ascii="Palatino Linotype" w:hAnsi="Palatino Linotype"/>
          <w:sz w:val="20"/>
          <w:szCs w:val="20"/>
        </w:rPr>
        <w:t>Uwuigbe and Olayinka, 2012. “</w:t>
      </w:r>
      <w:r w:rsidRPr="004E2CA8">
        <w:rPr>
          <w:rFonts w:ascii="Palatino Linotype" w:hAnsi="Palatino Linotype"/>
          <w:i/>
          <w:sz w:val="20"/>
          <w:szCs w:val="20"/>
        </w:rPr>
        <w:t>An Empirical Examination of the Relationship between Capital Structure and The Financial Performance of Firms in Nigeria</w:t>
      </w:r>
      <w:r w:rsidRPr="004E2CA8">
        <w:rPr>
          <w:rFonts w:ascii="Palatino Linotype" w:hAnsi="Palatino Linotype"/>
          <w:sz w:val="20"/>
          <w:szCs w:val="20"/>
        </w:rPr>
        <w:t xml:space="preserve">”. </w:t>
      </w:r>
      <w:r w:rsidRPr="004E2CA8">
        <w:rPr>
          <w:rFonts w:ascii="Palatino Linotype" w:hAnsi="Palatino Linotype"/>
          <w:bCs/>
          <w:sz w:val="20"/>
          <w:szCs w:val="20"/>
        </w:rPr>
        <w:t xml:space="preserve">Euro Economica </w:t>
      </w:r>
      <w:r w:rsidRPr="004E2CA8">
        <w:rPr>
          <w:rFonts w:ascii="Palatino Linotype" w:hAnsi="Palatino Linotype"/>
          <w:iCs/>
          <w:sz w:val="20"/>
          <w:szCs w:val="20"/>
        </w:rPr>
        <w:t>BANKING, FINANCE AND ACCOUNTING</w:t>
      </w:r>
      <w:r w:rsidRPr="004E2CA8">
        <w:rPr>
          <w:rFonts w:ascii="Palatino Linotype" w:hAnsi="Palatino Linotype"/>
          <w:bCs/>
          <w:sz w:val="20"/>
          <w:szCs w:val="20"/>
        </w:rPr>
        <w:t xml:space="preserve">. </w:t>
      </w:r>
      <w:r w:rsidRPr="004E2CA8">
        <w:rPr>
          <w:rFonts w:ascii="Palatino Linotype" w:hAnsi="Palatino Linotype"/>
          <w:i/>
          <w:iCs/>
          <w:sz w:val="20"/>
          <w:szCs w:val="20"/>
        </w:rPr>
        <w:t>Issue 1(31)/2012. ISSN: 1582-8859</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bCs/>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r w:rsidRPr="004E2CA8">
        <w:rPr>
          <w:rFonts w:ascii="Palatino Linotype" w:hAnsi="Palatino Linotype"/>
          <w:sz w:val="20"/>
          <w:szCs w:val="20"/>
        </w:rPr>
        <w:t xml:space="preserve">Van Home, J.C. 2002. </w:t>
      </w:r>
      <w:r w:rsidRPr="004E2CA8">
        <w:rPr>
          <w:rFonts w:ascii="Palatino Linotype" w:hAnsi="Palatino Linotype"/>
          <w:i/>
          <w:iCs/>
          <w:sz w:val="20"/>
          <w:szCs w:val="20"/>
        </w:rPr>
        <w:t>Financial Management</w:t>
      </w:r>
      <w:r w:rsidRPr="004E2CA8">
        <w:rPr>
          <w:rFonts w:ascii="Palatino Linotype" w:hAnsi="Palatino Linotype"/>
          <w:color w:val="231F20"/>
          <w:sz w:val="20"/>
          <w:szCs w:val="20"/>
        </w:rPr>
        <w:t xml:space="preserve"> </w:t>
      </w:r>
      <w:r w:rsidRPr="004E2CA8">
        <w:rPr>
          <w:rFonts w:ascii="Palatino Linotype" w:hAnsi="Palatino Linotype"/>
          <w:i/>
          <w:iCs/>
          <w:sz w:val="20"/>
          <w:szCs w:val="20"/>
        </w:rPr>
        <w:t xml:space="preserve">Policy, </w:t>
      </w:r>
      <w:r w:rsidRPr="004E2CA8">
        <w:rPr>
          <w:rFonts w:ascii="Palatino Linotype" w:hAnsi="Palatino Linotype"/>
          <w:sz w:val="20"/>
          <w:szCs w:val="20"/>
        </w:rPr>
        <w:t>International Edition, Twelfth edition,</w:t>
      </w:r>
      <w:r w:rsidRPr="004E2CA8">
        <w:rPr>
          <w:rFonts w:ascii="Palatino Linotype" w:hAnsi="Palatino Linotype"/>
          <w:color w:val="231F20"/>
          <w:sz w:val="20"/>
          <w:szCs w:val="20"/>
        </w:rPr>
        <w:t xml:space="preserve"> </w:t>
      </w:r>
      <w:r w:rsidRPr="004E2CA8">
        <w:rPr>
          <w:rFonts w:ascii="Palatino Linotype" w:hAnsi="Palatino Linotype"/>
          <w:sz w:val="20"/>
          <w:szCs w:val="20"/>
        </w:rPr>
        <w:t>Prentice-Hall Inc. Englewood Cliffs, New Jersey.</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sz w:val="20"/>
          <w:szCs w:val="20"/>
        </w:rPr>
      </w:pP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color w:val="231F20"/>
          <w:sz w:val="20"/>
          <w:szCs w:val="20"/>
        </w:rPr>
      </w:pPr>
      <w:r w:rsidRPr="004E2CA8">
        <w:rPr>
          <w:rFonts w:ascii="Palatino Linotype" w:hAnsi="Palatino Linotype"/>
          <w:color w:val="231F20"/>
          <w:sz w:val="20"/>
          <w:szCs w:val="20"/>
        </w:rPr>
        <w:lastRenderedPageBreak/>
        <w:t>Watts, R. and J. Zimmerman (1986), Positive Accounting Theory, Edgewood Cliffs, NJ: Prentice Hall</w:t>
      </w:r>
    </w:p>
    <w:p w:rsidR="0099672E" w:rsidRPr="004E2CA8" w:rsidRDefault="0099672E" w:rsidP="0099672E">
      <w:pPr>
        <w:autoSpaceDE w:val="0"/>
        <w:autoSpaceDN w:val="0"/>
        <w:adjustRightInd w:val="0"/>
        <w:spacing w:after="0" w:line="240" w:lineRule="auto"/>
        <w:ind w:left="709" w:hanging="709"/>
        <w:jc w:val="both"/>
        <w:rPr>
          <w:rFonts w:ascii="Palatino Linotype" w:hAnsi="Palatino Linotype"/>
          <w:color w:val="231F20"/>
          <w:sz w:val="20"/>
          <w:szCs w:val="20"/>
        </w:rPr>
      </w:pPr>
    </w:p>
    <w:p w:rsidR="0099672E" w:rsidRPr="004E2CA8" w:rsidRDefault="0099672E" w:rsidP="0099672E">
      <w:pPr>
        <w:spacing w:after="0" w:line="240" w:lineRule="auto"/>
        <w:ind w:left="709" w:hanging="709"/>
        <w:jc w:val="both"/>
        <w:rPr>
          <w:rFonts w:ascii="Palatino Linotype" w:hAnsi="Palatino Linotype"/>
          <w:sz w:val="20"/>
          <w:szCs w:val="20"/>
          <w:u w:val="single"/>
        </w:rPr>
      </w:pPr>
      <w:r w:rsidRPr="004E2CA8">
        <w:rPr>
          <w:rFonts w:ascii="Palatino Linotype" w:hAnsi="Palatino Linotype"/>
          <w:bCs/>
          <w:sz w:val="20"/>
          <w:szCs w:val="20"/>
        </w:rPr>
        <w:t>Y. Lingesiya, P.Premkanth. 2011. judul “</w:t>
      </w:r>
      <w:r w:rsidRPr="004E2CA8">
        <w:rPr>
          <w:rFonts w:ascii="Palatino Linotype" w:hAnsi="Palatino Linotype"/>
          <w:bCs/>
          <w:i/>
          <w:sz w:val="20"/>
          <w:szCs w:val="20"/>
        </w:rPr>
        <w:t>Impact of Capital Structure on Financial Performance: A Study on Listed Manufacturing Companies in Sri Langka</w:t>
      </w:r>
      <w:r w:rsidRPr="004E2CA8">
        <w:rPr>
          <w:rFonts w:ascii="Palatino Linotype" w:hAnsi="Palatino Linotype"/>
          <w:bCs/>
          <w:sz w:val="20"/>
          <w:szCs w:val="20"/>
        </w:rPr>
        <w:t xml:space="preserve">”. </w:t>
      </w:r>
      <w:r w:rsidRPr="004E2CA8">
        <w:rPr>
          <w:rFonts w:ascii="Palatino Linotype" w:hAnsi="Palatino Linotype"/>
          <w:sz w:val="20"/>
          <w:szCs w:val="20"/>
        </w:rPr>
        <w:t xml:space="preserve">Proceedings of International Conference on Business Management Vol 8. </w:t>
      </w:r>
      <w:r w:rsidRPr="004E2CA8">
        <w:rPr>
          <w:rFonts w:ascii="Palatino Linotype" w:hAnsi="Palatino Linotype"/>
          <w:color w:val="000000"/>
          <w:sz w:val="20"/>
          <w:szCs w:val="20"/>
        </w:rPr>
        <w:t>(</w:t>
      </w:r>
      <w:r w:rsidRPr="004E2CA8">
        <w:rPr>
          <w:rFonts w:ascii="Palatino Linotype" w:hAnsi="Palatino Linotype"/>
          <w:color w:val="000000"/>
          <w:sz w:val="20"/>
          <w:szCs w:val="20"/>
          <w:u w:val="single"/>
        </w:rPr>
        <w:fldChar w:fldCharType="begin"/>
      </w:r>
      <w:r w:rsidRPr="004E2CA8">
        <w:rPr>
          <w:rFonts w:ascii="Palatino Linotype" w:hAnsi="Palatino Linotype"/>
          <w:color w:val="000000"/>
          <w:sz w:val="20"/>
          <w:szCs w:val="20"/>
          <w:u w:val="single"/>
        </w:rPr>
        <w:instrText xml:space="preserve"> HYPERLINK "http://Journals.sjp.ac.lk" </w:instrText>
      </w:r>
      <w:r w:rsidRPr="004E2CA8">
        <w:rPr>
          <w:rFonts w:ascii="Palatino Linotype" w:hAnsi="Palatino Linotype"/>
          <w:color w:val="000000"/>
          <w:sz w:val="20"/>
          <w:szCs w:val="20"/>
          <w:u w:val="single"/>
        </w:rPr>
        <w:fldChar w:fldCharType="separate"/>
      </w:r>
      <w:r w:rsidRPr="004E2CA8">
        <w:rPr>
          <w:rStyle w:val="Hyperlink"/>
          <w:rFonts w:ascii="Palatino Linotype" w:hAnsi="Palatino Linotype"/>
          <w:color w:val="000000"/>
          <w:sz w:val="20"/>
          <w:szCs w:val="20"/>
        </w:rPr>
        <w:t>http://Journals.sjp.ac.lk</w:t>
      </w:r>
      <w:r w:rsidRPr="004E2CA8">
        <w:rPr>
          <w:rFonts w:ascii="Palatino Linotype" w:hAnsi="Palatino Linotype"/>
          <w:color w:val="000000"/>
          <w:sz w:val="20"/>
          <w:szCs w:val="20"/>
          <w:u w:val="single"/>
        </w:rPr>
        <w:fldChar w:fldCharType="end"/>
      </w:r>
      <w:r w:rsidRPr="004E2CA8">
        <w:rPr>
          <w:rFonts w:ascii="Palatino Linotype" w:hAnsi="Palatino Linotype"/>
          <w:color w:val="000000"/>
          <w:sz w:val="20"/>
          <w:szCs w:val="20"/>
          <w:u w:val="single"/>
        </w:rPr>
        <w:t>)</w:t>
      </w:r>
    </w:p>
    <w:p w:rsidR="0099672E" w:rsidRPr="004E2CA8" w:rsidRDefault="0099672E" w:rsidP="0099672E">
      <w:pPr>
        <w:spacing w:after="0" w:line="240" w:lineRule="auto"/>
        <w:ind w:left="709" w:hanging="709"/>
        <w:jc w:val="both"/>
        <w:rPr>
          <w:rFonts w:ascii="Palatino Linotype" w:hAnsi="Palatino Linotype"/>
          <w:sz w:val="20"/>
          <w:szCs w:val="20"/>
        </w:rPr>
      </w:pPr>
    </w:p>
    <w:p w:rsidR="0099672E" w:rsidRPr="004E2CA8" w:rsidRDefault="0099672E" w:rsidP="0099672E">
      <w:pPr>
        <w:pStyle w:val="NoSpacing"/>
        <w:shd w:val="clear" w:color="auto" w:fill="FFFFFF"/>
        <w:rPr>
          <w:rFonts w:ascii="Palatino Linotype" w:hAnsi="Palatino Linotype"/>
          <w:color w:val="000000"/>
          <w:sz w:val="20"/>
          <w:szCs w:val="20"/>
        </w:rPr>
      </w:pPr>
      <w:hyperlink r:id="rId20" w:history="1">
        <w:r w:rsidRPr="004E2CA8">
          <w:rPr>
            <w:rStyle w:val="Hyperlink"/>
            <w:rFonts w:ascii="Palatino Linotype" w:hAnsi="Palatino Linotype"/>
            <w:color w:val="000000"/>
            <w:sz w:val="20"/>
            <w:szCs w:val="20"/>
          </w:rPr>
          <w:t>http://www.bps.go.id/download_file/publikasi/NAD_Indonesia_Triwulanan_2007-2010_2a.pdf</w:t>
        </w:r>
      </w:hyperlink>
    </w:p>
    <w:p w:rsidR="0099672E" w:rsidRPr="004E2CA8" w:rsidRDefault="0099672E" w:rsidP="0099672E">
      <w:pPr>
        <w:pStyle w:val="NoSpacing"/>
        <w:shd w:val="clear" w:color="auto" w:fill="FFFFFF"/>
        <w:rPr>
          <w:rFonts w:ascii="Palatino Linotype" w:hAnsi="Palatino Linotype"/>
          <w:iCs/>
          <w:color w:val="000000"/>
          <w:sz w:val="20"/>
          <w:szCs w:val="20"/>
          <w:lang w:val="id-ID"/>
        </w:rPr>
      </w:pPr>
    </w:p>
    <w:p w:rsidR="0099672E" w:rsidRPr="004E2CA8" w:rsidRDefault="0099672E" w:rsidP="0099672E">
      <w:pPr>
        <w:pStyle w:val="NoSpacing"/>
        <w:shd w:val="clear" w:color="auto" w:fill="FFFFFF"/>
        <w:rPr>
          <w:rFonts w:ascii="Palatino Linotype" w:hAnsi="Palatino Linotype"/>
          <w:bCs/>
          <w:color w:val="000000"/>
          <w:sz w:val="20"/>
          <w:szCs w:val="20"/>
        </w:rPr>
      </w:pPr>
      <w:hyperlink r:id="rId21" w:history="1">
        <w:r w:rsidRPr="004E2CA8">
          <w:rPr>
            <w:rStyle w:val="Hyperlink"/>
            <w:rFonts w:ascii="Palatino Linotype" w:hAnsi="Palatino Linotype"/>
            <w:bCs/>
            <w:color w:val="000000"/>
            <w:sz w:val="20"/>
            <w:szCs w:val="20"/>
          </w:rPr>
          <w:t>http://www.idx.co.id</w:t>
        </w:r>
      </w:hyperlink>
    </w:p>
    <w:p w:rsidR="0099672E" w:rsidRPr="004E2CA8" w:rsidRDefault="0099672E" w:rsidP="0099672E">
      <w:pPr>
        <w:pStyle w:val="NoSpacing"/>
        <w:shd w:val="clear" w:color="auto" w:fill="FFFFFF"/>
        <w:rPr>
          <w:rFonts w:ascii="Palatino Linotype" w:hAnsi="Palatino Linotype"/>
          <w:iCs/>
          <w:color w:val="000000"/>
          <w:sz w:val="20"/>
          <w:szCs w:val="20"/>
          <w:u w:val="single"/>
        </w:rPr>
      </w:pPr>
    </w:p>
    <w:p w:rsidR="0099672E" w:rsidRPr="004E2CA8" w:rsidRDefault="0099672E" w:rsidP="0099672E">
      <w:pPr>
        <w:pStyle w:val="NoSpacing"/>
        <w:shd w:val="clear" w:color="auto" w:fill="FFFFFF"/>
        <w:rPr>
          <w:rFonts w:ascii="Palatino Linotype" w:hAnsi="Palatino Linotype"/>
          <w:color w:val="000000"/>
          <w:sz w:val="20"/>
          <w:szCs w:val="20"/>
        </w:rPr>
      </w:pPr>
      <w:r w:rsidRPr="004E2CA8">
        <w:rPr>
          <w:rFonts w:ascii="Palatino Linotype" w:hAnsi="Palatino Linotype"/>
          <w:color w:val="000000"/>
          <w:sz w:val="20"/>
          <w:szCs w:val="20"/>
        </w:rPr>
        <w:t>______</w:t>
      </w:r>
      <w:proofErr w:type="gramStart"/>
      <w:r w:rsidRPr="004E2CA8">
        <w:rPr>
          <w:rFonts w:ascii="Palatino Linotype" w:hAnsi="Palatino Linotype"/>
          <w:color w:val="000000"/>
          <w:sz w:val="20"/>
          <w:szCs w:val="20"/>
        </w:rPr>
        <w:t>,</w:t>
      </w:r>
      <w:r w:rsidRPr="004E2CA8">
        <w:rPr>
          <w:rFonts w:ascii="Palatino Linotype" w:hAnsi="Palatino Linotype"/>
          <w:bCs/>
          <w:color w:val="000000"/>
          <w:sz w:val="20"/>
          <w:szCs w:val="20"/>
        </w:rPr>
        <w:t>Indonesian</w:t>
      </w:r>
      <w:proofErr w:type="gramEnd"/>
      <w:r w:rsidRPr="004E2CA8">
        <w:rPr>
          <w:rFonts w:ascii="Palatino Linotype" w:hAnsi="Palatino Linotype"/>
          <w:bCs/>
          <w:color w:val="000000"/>
          <w:sz w:val="20"/>
          <w:szCs w:val="20"/>
        </w:rPr>
        <w:t xml:space="preserve"> Capital Market Directory</w:t>
      </w:r>
      <w:r w:rsidRPr="004E2CA8">
        <w:rPr>
          <w:rFonts w:ascii="Palatino Linotype" w:hAnsi="Palatino Linotype"/>
          <w:color w:val="000000"/>
          <w:sz w:val="20"/>
          <w:szCs w:val="20"/>
        </w:rPr>
        <w:t xml:space="preserve">. </w:t>
      </w:r>
      <w:proofErr w:type="gramStart"/>
      <w:r w:rsidRPr="004E2CA8">
        <w:rPr>
          <w:rFonts w:ascii="Palatino Linotype" w:hAnsi="Palatino Linotype"/>
          <w:color w:val="000000"/>
          <w:sz w:val="20"/>
          <w:szCs w:val="20"/>
        </w:rPr>
        <w:t xml:space="preserve">PT Bursa </w:t>
      </w:r>
      <w:proofErr w:type="spellStart"/>
      <w:r w:rsidRPr="004E2CA8">
        <w:rPr>
          <w:rFonts w:ascii="Palatino Linotype" w:hAnsi="Palatino Linotype"/>
          <w:color w:val="000000"/>
          <w:sz w:val="20"/>
          <w:szCs w:val="20"/>
        </w:rPr>
        <w:t>Efek</w:t>
      </w:r>
      <w:proofErr w:type="spellEnd"/>
      <w:r w:rsidRPr="004E2CA8">
        <w:rPr>
          <w:rFonts w:ascii="Palatino Linotype" w:hAnsi="Palatino Linotype"/>
          <w:color w:val="000000"/>
          <w:sz w:val="20"/>
          <w:szCs w:val="20"/>
        </w:rPr>
        <w:t xml:space="preserve"> Indonesia.</w:t>
      </w:r>
      <w:proofErr w:type="gramEnd"/>
      <w:r w:rsidRPr="004E2CA8">
        <w:rPr>
          <w:rFonts w:ascii="Palatino Linotype" w:hAnsi="Palatino Linotype"/>
          <w:color w:val="000000"/>
          <w:sz w:val="20"/>
          <w:szCs w:val="20"/>
        </w:rPr>
        <w:t xml:space="preserve"> Jakarta</w:t>
      </w:r>
    </w:p>
    <w:p w:rsidR="0099672E" w:rsidRPr="004E2CA8" w:rsidRDefault="0099672E" w:rsidP="0099672E">
      <w:pPr>
        <w:pStyle w:val="NoSpacing"/>
        <w:shd w:val="clear" w:color="auto" w:fill="FFFFFF"/>
        <w:rPr>
          <w:rFonts w:ascii="Palatino Linotype" w:hAnsi="Palatino Linotype"/>
          <w:color w:val="000000"/>
          <w:sz w:val="20"/>
          <w:szCs w:val="20"/>
        </w:rPr>
      </w:pPr>
    </w:p>
    <w:p w:rsidR="0099672E" w:rsidRPr="004E2CA8" w:rsidRDefault="0099672E" w:rsidP="0099672E">
      <w:pPr>
        <w:pStyle w:val="NoSpacing"/>
        <w:shd w:val="clear" w:color="auto" w:fill="FFFFFF"/>
        <w:rPr>
          <w:rFonts w:ascii="Palatino Linotype" w:hAnsi="Palatino Linotype"/>
          <w:color w:val="000000"/>
          <w:sz w:val="20"/>
          <w:szCs w:val="20"/>
        </w:rPr>
      </w:pPr>
      <w:hyperlink r:id="rId22" w:history="1">
        <w:r w:rsidRPr="004E2CA8">
          <w:rPr>
            <w:rStyle w:val="Hyperlink"/>
            <w:rFonts w:ascii="Palatino Linotype" w:hAnsi="Palatino Linotype"/>
            <w:color w:val="000000"/>
            <w:sz w:val="20"/>
            <w:szCs w:val="20"/>
          </w:rPr>
          <w:t>http://www.indonesiarecovery.com/krisis-keuangan-global-2008/krisis-2008-terparah-sejak-the-great-depression/7-krisis-global-2008.html</w:t>
        </w:r>
      </w:hyperlink>
    </w:p>
    <w:p w:rsidR="0099672E" w:rsidRPr="004E2CA8" w:rsidRDefault="0099672E" w:rsidP="0099672E">
      <w:pPr>
        <w:pStyle w:val="NoSpacing"/>
        <w:shd w:val="clear" w:color="auto" w:fill="FFFFFF"/>
        <w:rPr>
          <w:rFonts w:ascii="Palatino Linotype" w:hAnsi="Palatino Linotype"/>
          <w:color w:val="000000"/>
          <w:sz w:val="20"/>
          <w:szCs w:val="20"/>
        </w:rPr>
      </w:pPr>
    </w:p>
    <w:p w:rsidR="0099672E" w:rsidRPr="004E2CA8" w:rsidRDefault="0099672E" w:rsidP="0099672E">
      <w:pPr>
        <w:pStyle w:val="NoSpacing"/>
        <w:shd w:val="clear" w:color="auto" w:fill="FFFFFF"/>
        <w:rPr>
          <w:rFonts w:ascii="Palatino Linotype" w:hAnsi="Palatino Linotype"/>
          <w:color w:val="000000"/>
          <w:sz w:val="20"/>
          <w:szCs w:val="20"/>
        </w:rPr>
      </w:pPr>
      <w:hyperlink r:id="rId23" w:history="1">
        <w:r w:rsidRPr="004E2CA8">
          <w:rPr>
            <w:rStyle w:val="Hyperlink"/>
            <w:rFonts w:ascii="Palatino Linotype" w:hAnsi="Palatino Linotype"/>
            <w:color w:val="000000"/>
            <w:sz w:val="20"/>
            <w:szCs w:val="20"/>
          </w:rPr>
          <w:t>http://rutacs.wordpress.com/2008/10/30/dampak-krisis-keuangan-global-tahun-2008-terhadap-ekonomi-indonesia/</w:t>
        </w:r>
      </w:hyperlink>
    </w:p>
    <w:p w:rsidR="00077E67" w:rsidRDefault="0083239A">
      <w:pPr>
        <w:spacing w:after="120" w:line="240" w:lineRule="auto"/>
        <w:ind w:firstLine="284"/>
        <w:jc w:val="both"/>
        <w:rPr>
          <w:rFonts w:ascii="Palatino Linotype" w:hAnsi="Palatino Linotype" w:cstheme="minorHAnsi"/>
          <w:sz w:val="18"/>
        </w:rPr>
      </w:pPr>
      <w:r>
        <w:rPr>
          <w:rFonts w:ascii="Palatino Linotype" w:hAnsi="Palatino Linotype" w:cstheme="minorHAnsi"/>
          <w:sz w:val="20"/>
          <w:szCs w:val="24"/>
          <w:lang w:val="en-US"/>
        </w:rPr>
        <w:t xml:space="preserve"> </w:t>
      </w:r>
    </w:p>
    <w:sectPr w:rsidR="00077E67">
      <w:type w:val="continuous"/>
      <w:pgSz w:w="11906" w:h="16838"/>
      <w:pgMar w:top="1440" w:right="1440" w:bottom="1440" w:left="1440" w:header="568" w:footer="567" w:gutter="0"/>
      <w:cols w:space="52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F6" w:rsidRDefault="00386BF6">
      <w:pPr>
        <w:spacing w:after="0" w:line="240" w:lineRule="auto"/>
      </w:pPr>
      <w:r>
        <w:separator/>
      </w:r>
    </w:p>
  </w:endnote>
  <w:endnote w:type="continuationSeparator" w:id="0">
    <w:p w:rsidR="00386BF6" w:rsidRDefault="0038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charset w:val="00"/>
    <w:family w:val="swiss"/>
    <w:pitch w:val="variable"/>
    <w:sig w:usb0="80FF8023" w:usb1="0000004A" w:usb2="00000200" w:usb3="00000000" w:csb0="00000001"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Bookman Old Style">
    <w:panose1 w:val="020506040505050202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077E67">
    <w:pPr>
      <w:pStyle w:val="Footer"/>
      <w:jc w:val="right"/>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 xml:space="preserve"> </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w:t>
    </w:r>
    <w:proofErr w:type="gramStart"/>
    <w:r w:rsidR="00A30D3F">
      <w:rPr>
        <w:rFonts w:ascii="Humanst521 Lt BT" w:eastAsia="Adobe Myungjo Std M" w:hAnsi="Humanst521 Lt BT"/>
        <w:sz w:val="16"/>
        <w:lang w:val="en-US"/>
      </w:rPr>
      <w:t xml:space="preserve">Accounting </w:t>
    </w:r>
    <w:r>
      <w:rPr>
        <w:rFonts w:ascii="Humanst521 Lt BT" w:eastAsia="Adobe Myungjo Std M" w:hAnsi="Humanst521 Lt BT"/>
        <w:sz w:val="16"/>
        <w:lang w:val="en-US"/>
      </w:rPr>
      <w:t xml:space="preserve"> 2018</w:t>
    </w:r>
    <w:proofErr w:type="gramEnd"/>
    <w:r>
      <w:rPr>
        <w:rFonts w:ascii="Calisto MT" w:hAnsi="Calisto MT"/>
        <w:b/>
        <w:i/>
        <w:sz w:val="20"/>
        <w:szCs w:val="20"/>
        <w:lang w:val="en-US"/>
      </w:rPr>
      <w:t xml:space="preserve"> </w:t>
    </w:r>
  </w:p>
  <w:p w:rsidR="00077E67" w:rsidRDefault="0083239A">
    <w:pPr>
      <w:pStyle w:val="Footer"/>
      <w:jc w:val="right"/>
      <w:rPr>
        <w:rFonts w:ascii="Humanst521 Lt BT" w:hAnsi="Humanst521 Lt BT"/>
        <w:sz w:val="16"/>
        <w:lang w:val="en-US"/>
      </w:rPr>
    </w:pPr>
    <w:r>
      <w:rPr>
        <w:rFonts w:ascii="Humanst521 Lt BT" w:eastAsia="Adobe Myungjo Std M" w:hAnsi="Humanst521 Lt BT"/>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F6" w:rsidRDefault="00386BF6">
      <w:pPr>
        <w:spacing w:after="0" w:line="240" w:lineRule="auto"/>
      </w:pPr>
      <w:r>
        <w:separator/>
      </w:r>
    </w:p>
  </w:footnote>
  <w:footnote w:type="continuationSeparator" w:id="0">
    <w:p w:rsidR="00386BF6" w:rsidRDefault="0038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5C" w:rsidRPr="00DC408B" w:rsidRDefault="00DC408B" w:rsidP="004C545C">
    <w:pPr>
      <w:pStyle w:val="Header"/>
      <w:jc w:val="center"/>
      <w:rPr>
        <w:rFonts w:ascii="Humanst521 Lt BT" w:eastAsia="Adobe Myungjo Std M" w:hAnsi="Humanst521 Lt BT"/>
        <w:sz w:val="16"/>
        <w:szCs w:val="16"/>
        <w:lang w:val="en-US"/>
      </w:rPr>
    </w:pPr>
    <w:r>
      <w:rPr>
        <w:rFonts w:ascii="Humanst521 Lt BT" w:eastAsia="Adobe Myungjo Std M" w:hAnsi="Humanst521 Lt BT"/>
        <w:sz w:val="16"/>
        <w:lang w:val="en-US"/>
      </w:rPr>
      <w:t xml:space="preserve">Mia Angelina </w:t>
    </w:r>
    <w:proofErr w:type="spellStart"/>
    <w:r>
      <w:rPr>
        <w:rFonts w:ascii="Humanst521 Lt BT" w:eastAsia="Adobe Myungjo Std M" w:hAnsi="Humanst521 Lt BT"/>
        <w:sz w:val="16"/>
        <w:lang w:val="en-US"/>
      </w:rPr>
      <w:t>Setiawan</w:t>
    </w:r>
    <w:proofErr w:type="spellEnd"/>
    <w:r>
      <w:rPr>
        <w:rFonts w:ascii="Humanst521 Lt BT" w:eastAsia="Adobe Myungjo Std M" w:hAnsi="Humanst521 Lt BT"/>
        <w:sz w:val="16"/>
        <w:lang w:val="en-US"/>
      </w:rPr>
      <w:t xml:space="preserve"> </w:t>
    </w:r>
    <w:r w:rsidRPr="00DC408B">
      <w:rPr>
        <w:rFonts w:ascii="Humanst521 Lt BT" w:eastAsia="Adobe Myungjo Std M" w:hAnsi="Humanst521 Lt BT"/>
        <w:sz w:val="16"/>
        <w:szCs w:val="16"/>
        <w:lang w:val="en-US"/>
      </w:rPr>
      <w:t>(</w:t>
    </w:r>
    <w:r w:rsidRPr="00DC408B">
      <w:rPr>
        <w:rFonts w:ascii="Palatino Linotype" w:hAnsi="Palatino Linotype"/>
        <w:sz w:val="16"/>
        <w:szCs w:val="16"/>
      </w:rPr>
      <w:t>A study of Firm Size, Growth, Capital Structure, and Insider Ownership toward Financial Performance</w:t>
    </w:r>
    <w:r w:rsidRPr="00DC408B">
      <w:rPr>
        <w:rFonts w:ascii="Palatino Linotype" w:hAnsi="Palatino Linotype"/>
        <w:sz w:val="16"/>
        <w:szCs w:val="16"/>
        <w:lang w:val="en-US"/>
      </w:rPr>
      <w:t>)</w:t>
    </w:r>
    <w:r w:rsidRPr="00DC408B">
      <w:rPr>
        <w:rFonts w:ascii="Humanst521 Lt BT" w:eastAsia="Adobe Myungjo Std M" w:hAnsi="Humanst521 Lt BT"/>
        <w:sz w:val="16"/>
        <w:szCs w:val="16"/>
        <w:lang w:val="en-US"/>
      </w:rPr>
      <w:t xml:space="preserve"> </w:t>
    </w:r>
  </w:p>
  <w:p w:rsidR="00077E67" w:rsidRDefault="0083239A">
    <w:pPr>
      <w:pStyle w:val="Header"/>
      <w:jc w:val="right"/>
      <w:rPr>
        <w:rFonts w:ascii="Humanst521 BT" w:hAnsi="Humanst521 BT"/>
      </w:rPr>
    </w:pPr>
    <w:r>
      <w:rPr>
        <w:rFonts w:ascii="Humanst521 BT" w:hAnsi="Humanst521 BT"/>
      </w:rPr>
      <w:fldChar w:fldCharType="begin"/>
    </w:r>
    <w:r>
      <w:rPr>
        <w:rFonts w:ascii="Humanst521 BT" w:hAnsi="Humanst521 BT"/>
      </w:rPr>
      <w:instrText xml:space="preserve"> PAGE   \* MERGEFORMAT </w:instrText>
    </w:r>
    <w:r>
      <w:rPr>
        <w:rFonts w:ascii="Humanst521 BT" w:hAnsi="Humanst521 BT"/>
      </w:rPr>
      <w:fldChar w:fldCharType="separate"/>
    </w:r>
    <w:r w:rsidR="00A41EA7">
      <w:rPr>
        <w:rFonts w:ascii="Humanst521 BT" w:hAnsi="Humanst521 BT"/>
        <w:noProof/>
      </w:rPr>
      <w:t>2</w:t>
    </w:r>
    <w:r>
      <w:rPr>
        <w:rFonts w:ascii="Humanst521 BT" w:hAnsi="Humanst521 BT"/>
      </w:rPr>
      <w:fldChar w:fldCharType="end"/>
    </w:r>
  </w:p>
  <w:p w:rsidR="00077E67" w:rsidRDefault="00077E67">
    <w:pPr>
      <w:pStyle w:val="Header"/>
      <w:jc w:val="right"/>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Header"/>
      <w:tabs>
        <w:tab w:val="clear" w:pos="4513"/>
        <w:tab w:val="clear" w:pos="9026"/>
        <w:tab w:val="left" w:pos="1942"/>
      </w:tabs>
      <w:ind w:left="-142"/>
      <w:jc w:val="right"/>
      <w:rPr>
        <w:rFonts w:ascii="Calisto MT" w:hAnsi="Calisto MT"/>
        <w:b/>
        <w:szCs w:val="20"/>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59055</wp:posOffset>
              </wp:positionV>
              <wp:extent cx="963295" cy="561975"/>
              <wp:effectExtent l="4445" t="5080" r="7620" b="12065"/>
              <wp:wrapNone/>
              <wp:docPr id="4" name="Text Box 4"/>
              <wp:cNvGraphicFramePr/>
              <a:graphic xmlns:a="http://schemas.openxmlformats.org/drawingml/2006/main">
                <a:graphicData uri="http://schemas.microsoft.com/office/word/2010/wordprocessingShape">
                  <wps:wsp>
                    <wps:cNvSpPr txBox="1"/>
                    <wps:spPr>
                      <a:xfrm>
                        <a:off x="952500" y="494665"/>
                        <a:ext cx="963295" cy="630555"/>
                      </a:xfrm>
                      <a:prstGeom prst="rect">
                        <a:avLst/>
                      </a:prstGeom>
                      <a:solidFill>
                        <a:srgbClr val="FFFFFF"/>
                      </a:solidFill>
                      <a:ln w="6350">
                        <a:solidFill>
                          <a:prstClr val="black"/>
                        </a:solidFill>
                      </a:ln>
                      <a:effectLst/>
                    </wps:spPr>
                    <wps:txb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4.65pt;width:75.8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" strokeweight=".5pt">
              <v:textbo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v:textbox>
            </v:shape>
          </w:pict>
        </mc:Fallback>
      </mc:AlternateContent>
    </w:r>
    <w:r>
      <w:rPr>
        <w:rFonts w:ascii="Calisto MT" w:hAnsi="Calisto MT"/>
        <w:b/>
        <w:szCs w:val="20"/>
        <w:lang w:val="en-US"/>
      </w:rPr>
      <w:t xml:space="preserve">PROCEEDING </w:t>
    </w:r>
    <w:r>
      <w:rPr>
        <w:rFonts w:ascii="Calisto MT" w:hAnsi="Calisto MT"/>
        <w:b/>
        <w:sz w:val="28"/>
        <w:szCs w:val="32"/>
        <w:lang w:val="en-US"/>
      </w:rPr>
      <w:t>|</w:t>
    </w:r>
    <w:r>
      <w:rPr>
        <w:rFonts w:ascii="Calisto MT" w:hAnsi="Calisto MT"/>
        <w:b/>
        <w:szCs w:val="20"/>
        <w:lang w:val="en-US"/>
      </w:rPr>
      <w:t xml:space="preserve"> The 1</w:t>
    </w:r>
    <w:r>
      <w:rPr>
        <w:rFonts w:ascii="Calisto MT" w:hAnsi="Calisto MT"/>
        <w:b/>
        <w:szCs w:val="20"/>
        <w:vertAlign w:val="superscript"/>
        <w:lang w:val="en-US"/>
      </w:rPr>
      <w:t xml:space="preserve">st </w:t>
    </w:r>
    <w:r>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r>
      <w:rPr>
        <w:rFonts w:ascii="Calisto MT" w:hAnsi="Calisto MT"/>
        <w:i/>
        <w:sz w:val="16"/>
        <w:szCs w:val="18"/>
        <w:lang w:val="en-US"/>
      </w:rPr>
      <w:t xml:space="preserve"> </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w:t>
    </w:r>
    <w:r w:rsidRPr="00A30D3F">
      <w:rPr>
        <w:rFonts w:ascii="Calisto MT" w:hAnsi="Calisto MT"/>
        <w:sz w:val="18"/>
        <w:szCs w:val="18"/>
      </w:rPr>
      <w:t xml:space="preserve"> </w:t>
    </w:r>
    <w:r w:rsidRPr="00A30D3F">
      <w:rPr>
        <w:rFonts w:ascii="Calisto MT" w:hAnsi="Calisto MT"/>
        <w:sz w:val="18"/>
        <w:szCs w:val="18"/>
        <w:lang w:val="en-US"/>
      </w:rPr>
      <w:t>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r w:rsidRPr="00A30D3F">
      <w:rPr>
        <w:rFonts w:ascii="Calisto MT" w:hAnsi="Calisto MT"/>
        <w:sz w:val="18"/>
        <w:szCs w:val="18"/>
        <w:lang w:val="en-US"/>
      </w:rPr>
      <w:t xml:space="preserve"> </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79"/>
    <w:rsid w:val="00011F13"/>
    <w:rsid w:val="00016116"/>
    <w:rsid w:val="00031116"/>
    <w:rsid w:val="00033162"/>
    <w:rsid w:val="0004769D"/>
    <w:rsid w:val="000522B3"/>
    <w:rsid w:val="000547FE"/>
    <w:rsid w:val="000566C6"/>
    <w:rsid w:val="00063766"/>
    <w:rsid w:val="00066857"/>
    <w:rsid w:val="00067380"/>
    <w:rsid w:val="00071DA6"/>
    <w:rsid w:val="000761F9"/>
    <w:rsid w:val="000779D9"/>
    <w:rsid w:val="00077E67"/>
    <w:rsid w:val="00080498"/>
    <w:rsid w:val="000846D4"/>
    <w:rsid w:val="000A05AC"/>
    <w:rsid w:val="000A59F8"/>
    <w:rsid w:val="000A77D3"/>
    <w:rsid w:val="000B287B"/>
    <w:rsid w:val="000C6030"/>
    <w:rsid w:val="000E2138"/>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C5698"/>
    <w:rsid w:val="001D4475"/>
    <w:rsid w:val="001E31BA"/>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360B3"/>
    <w:rsid w:val="00342A66"/>
    <w:rsid w:val="00346200"/>
    <w:rsid w:val="00353BD3"/>
    <w:rsid w:val="00354A9E"/>
    <w:rsid w:val="003749FB"/>
    <w:rsid w:val="0037717A"/>
    <w:rsid w:val="00385500"/>
    <w:rsid w:val="00386BF6"/>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42002"/>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C6F2E"/>
    <w:rsid w:val="004D3415"/>
    <w:rsid w:val="004D7D98"/>
    <w:rsid w:val="004E1DA0"/>
    <w:rsid w:val="004E2CA8"/>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275D"/>
    <w:rsid w:val="00683D5E"/>
    <w:rsid w:val="0069276A"/>
    <w:rsid w:val="00694276"/>
    <w:rsid w:val="0069484B"/>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E5DA7"/>
    <w:rsid w:val="008F3630"/>
    <w:rsid w:val="008F7B44"/>
    <w:rsid w:val="008F7BDB"/>
    <w:rsid w:val="009024FF"/>
    <w:rsid w:val="009068EA"/>
    <w:rsid w:val="00923A79"/>
    <w:rsid w:val="00930905"/>
    <w:rsid w:val="009325FE"/>
    <w:rsid w:val="00934020"/>
    <w:rsid w:val="00935172"/>
    <w:rsid w:val="009359EC"/>
    <w:rsid w:val="00942F16"/>
    <w:rsid w:val="009434FE"/>
    <w:rsid w:val="009445EE"/>
    <w:rsid w:val="009651D0"/>
    <w:rsid w:val="00977E7C"/>
    <w:rsid w:val="00982F8A"/>
    <w:rsid w:val="0098322B"/>
    <w:rsid w:val="00983276"/>
    <w:rsid w:val="009903C6"/>
    <w:rsid w:val="0099672E"/>
    <w:rsid w:val="009C17FA"/>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1EA7"/>
    <w:rsid w:val="00A45EBE"/>
    <w:rsid w:val="00A46D45"/>
    <w:rsid w:val="00A54D82"/>
    <w:rsid w:val="00A6204F"/>
    <w:rsid w:val="00A63EB2"/>
    <w:rsid w:val="00A6637F"/>
    <w:rsid w:val="00A7670F"/>
    <w:rsid w:val="00A8300A"/>
    <w:rsid w:val="00A83B74"/>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D5F8D"/>
    <w:rsid w:val="00BF213E"/>
    <w:rsid w:val="00BF4C31"/>
    <w:rsid w:val="00BF5B3C"/>
    <w:rsid w:val="00BF613C"/>
    <w:rsid w:val="00BF6B5E"/>
    <w:rsid w:val="00C07620"/>
    <w:rsid w:val="00C127EF"/>
    <w:rsid w:val="00C152E9"/>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A4401"/>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94479"/>
    <w:rsid w:val="00DA692F"/>
    <w:rsid w:val="00DB0871"/>
    <w:rsid w:val="00DB4BE2"/>
    <w:rsid w:val="00DC408B"/>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075D1"/>
    <w:rsid w:val="00F10D6F"/>
    <w:rsid w:val="00F22247"/>
    <w:rsid w:val="00F3106F"/>
    <w:rsid w:val="00F315B0"/>
    <w:rsid w:val="00F31E3A"/>
    <w:rsid w:val="00F448CC"/>
    <w:rsid w:val="00F46EDA"/>
    <w:rsid w:val="00F55A7C"/>
    <w:rsid w:val="00F96DCF"/>
    <w:rsid w:val="00FA261E"/>
    <w:rsid w:val="00FA3E09"/>
    <w:rsid w:val="00FC06A1"/>
    <w:rsid w:val="00FC75A9"/>
    <w:rsid w:val="00FD430A"/>
    <w:rsid w:val="00FD55B6"/>
    <w:rsid w:val="00FE1A89"/>
    <w:rsid w:val="00FE6E88"/>
    <w:rsid w:val="00FE7F42"/>
    <w:rsid w:val="00FF2A18"/>
    <w:rsid w:val="00FF7B7C"/>
    <w:rsid w:val="03957687"/>
    <w:rsid w:val="3912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styleId="NoSpacing">
    <w:name w:val="No Spacing"/>
    <w:uiPriority w:val="1"/>
    <w:qFormat/>
    <w:rsid w:val="009C17FA"/>
    <w:pPr>
      <w:spacing w:after="0" w:line="240" w:lineRule="auto"/>
    </w:pPr>
    <w:rPr>
      <w:sz w:val="22"/>
      <w:szCs w:val="22"/>
    </w:rPr>
  </w:style>
  <w:style w:type="paragraph" w:styleId="NormalWeb">
    <w:name w:val="Normal (Web)"/>
    <w:basedOn w:val="Normal"/>
    <w:uiPriority w:val="99"/>
    <w:rsid w:val="0068275D"/>
    <w:pPr>
      <w:spacing w:before="100" w:beforeAutospacing="1" w:after="100" w:afterAutospacing="1" w:line="240" w:lineRule="auto"/>
    </w:pPr>
    <w:rPr>
      <w:rFonts w:eastAsia="Times New Roman" w:cs="Calibri"/>
      <w:sz w:val="24"/>
      <w:szCs w:val="24"/>
      <w:lang w:val="en-US"/>
    </w:rPr>
  </w:style>
  <w:style w:type="paragraph" w:customStyle="1" w:styleId="Default">
    <w:name w:val="Default"/>
    <w:rsid w:val="0099672E"/>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judul1">
    <w:name w:val="judul1"/>
    <w:basedOn w:val="DefaultParagraphFont"/>
    <w:rsid w:val="0099672E"/>
    <w:rPr>
      <w:rFonts w:ascii="Arial" w:hAnsi="Arial" w:cs="Arial"/>
      <w:b/>
      <w:bCs/>
      <w:color w:val="04046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styleId="NoSpacing">
    <w:name w:val="No Spacing"/>
    <w:uiPriority w:val="1"/>
    <w:qFormat/>
    <w:rsid w:val="009C17FA"/>
    <w:pPr>
      <w:spacing w:after="0" w:line="240" w:lineRule="auto"/>
    </w:pPr>
    <w:rPr>
      <w:sz w:val="22"/>
      <w:szCs w:val="22"/>
    </w:rPr>
  </w:style>
  <w:style w:type="paragraph" w:styleId="NormalWeb">
    <w:name w:val="Normal (Web)"/>
    <w:basedOn w:val="Normal"/>
    <w:uiPriority w:val="99"/>
    <w:rsid w:val="0068275D"/>
    <w:pPr>
      <w:spacing w:before="100" w:beforeAutospacing="1" w:after="100" w:afterAutospacing="1" w:line="240" w:lineRule="auto"/>
    </w:pPr>
    <w:rPr>
      <w:rFonts w:eastAsia="Times New Roman" w:cs="Calibri"/>
      <w:sz w:val="24"/>
      <w:szCs w:val="24"/>
      <w:lang w:val="en-US"/>
    </w:rPr>
  </w:style>
  <w:style w:type="paragraph" w:customStyle="1" w:styleId="Default">
    <w:name w:val="Default"/>
    <w:rsid w:val="0099672E"/>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judul1">
    <w:name w:val="judul1"/>
    <w:basedOn w:val="DefaultParagraphFont"/>
    <w:rsid w:val="0099672E"/>
    <w:rPr>
      <w:rFonts w:ascii="Arial" w:hAnsi="Arial" w:cs="Arial"/>
      <w:b/>
      <w:bCs/>
      <w:color w:val="04046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08">
      <w:bodyDiv w:val="1"/>
      <w:marLeft w:val="0"/>
      <w:marRight w:val="0"/>
      <w:marTop w:val="0"/>
      <w:marBottom w:val="0"/>
      <w:divBdr>
        <w:top w:val="none" w:sz="0" w:space="0" w:color="auto"/>
        <w:left w:val="none" w:sz="0" w:space="0" w:color="auto"/>
        <w:bottom w:val="none" w:sz="0" w:space="0" w:color="auto"/>
        <w:right w:val="none" w:sz="0" w:space="0" w:color="auto"/>
      </w:divBdr>
      <w:divsChild>
        <w:div w:id="1405183510">
          <w:marLeft w:val="0"/>
          <w:marRight w:val="0"/>
          <w:marTop w:val="0"/>
          <w:marBottom w:val="0"/>
          <w:divBdr>
            <w:top w:val="none" w:sz="0" w:space="0" w:color="auto"/>
            <w:left w:val="none" w:sz="0" w:space="0" w:color="auto"/>
            <w:bottom w:val="none" w:sz="0" w:space="0" w:color="auto"/>
            <w:right w:val="none" w:sz="0" w:space="0" w:color="auto"/>
          </w:divBdr>
          <w:divsChild>
            <w:div w:id="11821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google.com" TargetMode="External"/><Relationship Id="rId3" Type="http://schemas.openxmlformats.org/officeDocument/2006/relationships/numbering" Target="numbering.xml"/><Relationship Id="rId21" Type="http://schemas.openxmlformats.org/officeDocument/2006/relationships/hyperlink" Target="http://www.idx.co.id"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puslit2.petra.ac.id/ejournal/index.php/aku/article/download/18237/181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ps.go.id/download_file/publikasi/NAD_Indonesia_Triwulanan_2007-2010_2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24036/XXXXX"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http://rutacs.wordpress.com/2008/10/30/dampak-krisis-keuangan-global-tahun-2008-terhadap-ekonomi-indonesia/" TargetMode="External"/><Relationship Id="rId10" Type="http://schemas.openxmlformats.org/officeDocument/2006/relationships/hyperlink" Target="mailto:miaangelinasetiawan@gmail.com" TargetMode="External"/><Relationship Id="rId19" Type="http://schemas.openxmlformats.org/officeDocument/2006/relationships/hyperlink" Target="http://ssrn.com/abstract=1279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indonesiarecovery.com/krisis-keuangan-global-2008/krisis-2008-terparah-sejak-the-great-depression/7-krisis-global-2008.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617E3-16DA-4563-9974-D2023266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59</TotalTime>
  <Pages>9</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user</cp:lastModifiedBy>
  <cp:revision>21</cp:revision>
  <cp:lastPrinted>2017-01-08T16:59:00Z</cp:lastPrinted>
  <dcterms:created xsi:type="dcterms:W3CDTF">2018-05-21T06:12:00Z</dcterms:created>
  <dcterms:modified xsi:type="dcterms:W3CDTF">2018-05-21T07:29:00Z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