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6E" w:rsidRPr="00FE65C9" w:rsidRDefault="0038506E" w:rsidP="0038506E">
      <w:pPr>
        <w:spacing w:after="0" w:line="240" w:lineRule="auto"/>
        <w:rPr>
          <w:rFonts w:ascii="Palatino Linotype" w:hAnsi="Palatino Linotype"/>
          <w:color w:val="FF0000"/>
          <w:sz w:val="20"/>
          <w:szCs w:val="20"/>
          <w:lang w:val="en-US"/>
        </w:rPr>
      </w:pPr>
    </w:p>
    <w:p w:rsidR="00FE65C9" w:rsidRPr="008F7EAC" w:rsidRDefault="00FE65C9" w:rsidP="00FE65C9">
      <w:pPr>
        <w:pStyle w:val="NoSpacing"/>
        <w:jc w:val="center"/>
        <w:rPr>
          <w:rFonts w:ascii="Palatino Linotype" w:hAnsi="Palatino Linotype"/>
          <w:b/>
        </w:rPr>
      </w:pPr>
      <w:r w:rsidRPr="008F7EAC">
        <w:rPr>
          <w:rFonts w:ascii="Palatino Linotype" w:hAnsi="Palatino Linotype"/>
          <w:b/>
        </w:rPr>
        <w:t>HOUSEHOLD EXPENSES AFTER AN INCREASED BASIC TARIFF OF ELECTRICITY</w:t>
      </w:r>
    </w:p>
    <w:p w:rsidR="00FE65C9" w:rsidRPr="008F7EAC" w:rsidRDefault="00FE65C9" w:rsidP="00FE65C9">
      <w:pPr>
        <w:pStyle w:val="NoSpacing"/>
        <w:jc w:val="center"/>
        <w:rPr>
          <w:rFonts w:ascii="Palatino Linotype" w:hAnsi="Palatino Linotype"/>
          <w:b/>
        </w:rPr>
      </w:pPr>
      <w:r w:rsidRPr="008F7EAC">
        <w:rPr>
          <w:rFonts w:ascii="Palatino Linotype" w:hAnsi="Palatino Linotype"/>
          <w:b/>
        </w:rPr>
        <w:t>(A Case Study On Pekanbaru Communities)</w:t>
      </w:r>
    </w:p>
    <w:p w:rsidR="00FE65C9" w:rsidRPr="00FE65C9" w:rsidRDefault="00FE65C9" w:rsidP="00FE65C9">
      <w:pPr>
        <w:pStyle w:val="NoSpacing"/>
        <w:jc w:val="center"/>
        <w:rPr>
          <w:rFonts w:ascii="Palatino Linotype" w:hAnsi="Palatino Linotype"/>
          <w:b/>
          <w:color w:val="333333"/>
          <w:sz w:val="20"/>
          <w:szCs w:val="20"/>
        </w:rPr>
      </w:pPr>
    </w:p>
    <w:p w:rsidR="00FE65C9" w:rsidRPr="00FE65C9" w:rsidRDefault="00FE65C9" w:rsidP="00FE65C9">
      <w:pPr>
        <w:pStyle w:val="NoSpacing"/>
        <w:rPr>
          <w:rFonts w:ascii="Palatino Linotype" w:hAnsi="Palatino Linotype"/>
          <w:b/>
          <w:color w:val="333333"/>
          <w:sz w:val="20"/>
          <w:szCs w:val="20"/>
        </w:rPr>
      </w:pPr>
    </w:p>
    <w:p w:rsidR="00FE65C9" w:rsidRPr="00FE65C9" w:rsidRDefault="00FE65C9" w:rsidP="00FE65C9">
      <w:pPr>
        <w:pStyle w:val="NoSpacing"/>
        <w:rPr>
          <w:rFonts w:ascii="Palatino Linotype" w:hAnsi="Palatino Linotype"/>
          <w:b/>
          <w:color w:val="333333"/>
          <w:sz w:val="20"/>
          <w:szCs w:val="20"/>
          <w:vertAlign w:val="superscript"/>
          <w:lang w:val="id-ID"/>
        </w:rPr>
      </w:pPr>
      <w:r w:rsidRPr="00FE65C9">
        <w:rPr>
          <w:rFonts w:ascii="Palatino Linotype" w:hAnsi="Palatino Linotype"/>
          <w:b/>
          <w:color w:val="333333"/>
          <w:sz w:val="20"/>
          <w:szCs w:val="20"/>
        </w:rPr>
        <w:t>Prama Widayat</w:t>
      </w:r>
      <w:r w:rsidRPr="00FE65C9">
        <w:rPr>
          <w:rFonts w:ascii="Palatino Linotype" w:hAnsi="Palatino Linotype"/>
          <w:b/>
          <w:color w:val="333333"/>
          <w:sz w:val="20"/>
          <w:szCs w:val="20"/>
          <w:vertAlign w:val="superscript"/>
          <w:lang w:val="id-ID"/>
        </w:rPr>
        <w:t xml:space="preserve">1 </w:t>
      </w:r>
      <w:r w:rsidRPr="00FE65C9">
        <w:rPr>
          <w:rFonts w:ascii="Palatino Linotype" w:hAnsi="Palatino Linotype"/>
          <w:b/>
          <w:color w:val="333333"/>
          <w:sz w:val="20"/>
          <w:szCs w:val="20"/>
          <w:lang w:val="id-ID"/>
        </w:rPr>
        <w:t>and Ryan Pahlawan</w:t>
      </w:r>
      <w:r w:rsidRPr="00FE65C9">
        <w:rPr>
          <w:rFonts w:ascii="Palatino Linotype" w:hAnsi="Palatino Linotype"/>
          <w:b/>
          <w:color w:val="333333"/>
          <w:sz w:val="20"/>
          <w:szCs w:val="20"/>
          <w:vertAlign w:val="superscript"/>
          <w:lang w:val="id-ID"/>
        </w:rPr>
        <w:t>2</w:t>
      </w:r>
    </w:p>
    <w:p w:rsidR="00FE65C9" w:rsidRPr="00FE65C9" w:rsidRDefault="00FE65C9" w:rsidP="00FE65C9">
      <w:pPr>
        <w:pStyle w:val="NoSpacing"/>
        <w:jc w:val="center"/>
        <w:rPr>
          <w:rFonts w:ascii="Palatino Linotype" w:hAnsi="Palatino Linotype"/>
          <w:b/>
          <w:color w:val="333333"/>
          <w:sz w:val="20"/>
          <w:szCs w:val="20"/>
          <w:lang w:val="id-ID"/>
        </w:rPr>
      </w:pPr>
    </w:p>
    <w:p w:rsidR="00FE65C9" w:rsidRPr="00FE65C9" w:rsidRDefault="00FE65C9" w:rsidP="00FE65C9">
      <w:pPr>
        <w:pStyle w:val="NoSpacing"/>
        <w:jc w:val="both"/>
        <w:rPr>
          <w:rFonts w:ascii="Palatino Linotype" w:hAnsi="Palatino Linotype"/>
          <w:b/>
          <w:color w:val="333333"/>
          <w:sz w:val="20"/>
          <w:szCs w:val="20"/>
          <w:lang w:val="id-ID"/>
        </w:rPr>
      </w:pPr>
      <w:r w:rsidRPr="00FE65C9">
        <w:rPr>
          <w:rFonts w:ascii="Palatino Linotype" w:hAnsi="Palatino Linotype"/>
          <w:b/>
          <w:color w:val="333333"/>
          <w:sz w:val="20"/>
          <w:szCs w:val="20"/>
          <w:vertAlign w:val="superscript"/>
          <w:lang w:val="id-ID"/>
        </w:rPr>
        <w:t>1</w:t>
      </w:r>
      <w:r w:rsidRPr="00FE65C9">
        <w:rPr>
          <w:rFonts w:ascii="Palatino Linotype" w:hAnsi="Palatino Linotype"/>
          <w:b/>
          <w:color w:val="333333"/>
          <w:sz w:val="20"/>
          <w:szCs w:val="20"/>
        </w:rPr>
        <w:t>Universit</w:t>
      </w:r>
      <w:r w:rsidRPr="00FE65C9">
        <w:rPr>
          <w:rFonts w:ascii="Palatino Linotype" w:hAnsi="Palatino Linotype"/>
          <w:b/>
          <w:color w:val="333333"/>
          <w:sz w:val="20"/>
          <w:szCs w:val="20"/>
          <w:lang w:val="id-ID"/>
        </w:rPr>
        <w:t>y</w:t>
      </w:r>
      <w:r w:rsidRPr="00FE65C9">
        <w:rPr>
          <w:rFonts w:ascii="Palatino Linotype" w:hAnsi="Palatino Linotype"/>
          <w:b/>
          <w:color w:val="333333"/>
          <w:sz w:val="20"/>
          <w:szCs w:val="20"/>
        </w:rPr>
        <w:t xml:space="preserve"> Lancang Kuning, Riau Indonesia, </w:t>
      </w:r>
      <w:hyperlink r:id="rId9" w:history="1">
        <w:r w:rsidRPr="00FE65C9">
          <w:rPr>
            <w:rStyle w:val="Hyperlink"/>
            <w:rFonts w:ascii="Palatino Linotype" w:hAnsi="Palatino Linotype"/>
            <w:b/>
            <w:sz w:val="20"/>
            <w:szCs w:val="20"/>
          </w:rPr>
          <w:t>pramawidayat@</w:t>
        </w:r>
        <w:r w:rsidRPr="00FE65C9">
          <w:rPr>
            <w:rStyle w:val="Hyperlink"/>
            <w:rFonts w:ascii="Palatino Linotype" w:hAnsi="Palatino Linotype"/>
            <w:b/>
            <w:sz w:val="20"/>
            <w:szCs w:val="20"/>
            <w:lang w:val="id-ID"/>
          </w:rPr>
          <w:t>unilak</w:t>
        </w:r>
        <w:r w:rsidRPr="00FE65C9">
          <w:rPr>
            <w:rStyle w:val="Hyperlink"/>
            <w:rFonts w:ascii="Palatino Linotype" w:hAnsi="Palatino Linotype"/>
            <w:b/>
            <w:sz w:val="20"/>
            <w:szCs w:val="20"/>
          </w:rPr>
          <w:t>.</w:t>
        </w:r>
        <w:r w:rsidRPr="00FE65C9">
          <w:rPr>
            <w:rStyle w:val="Hyperlink"/>
            <w:rFonts w:ascii="Palatino Linotype" w:hAnsi="Palatino Linotype"/>
            <w:b/>
            <w:sz w:val="20"/>
            <w:szCs w:val="20"/>
            <w:lang w:val="id-ID"/>
          </w:rPr>
          <w:t>ac.id</w:t>
        </w:r>
      </w:hyperlink>
    </w:p>
    <w:p w:rsidR="00FE65C9" w:rsidRPr="00FE65C9" w:rsidRDefault="00FE65C9" w:rsidP="00FE65C9">
      <w:pPr>
        <w:pStyle w:val="NoSpacing"/>
        <w:jc w:val="both"/>
        <w:rPr>
          <w:rFonts w:ascii="Palatino Linotype" w:hAnsi="Palatino Linotype"/>
          <w:b/>
          <w:color w:val="333333"/>
          <w:sz w:val="20"/>
          <w:szCs w:val="20"/>
        </w:rPr>
      </w:pPr>
      <w:r w:rsidRPr="00FE65C9">
        <w:rPr>
          <w:rFonts w:ascii="Palatino Linotype" w:hAnsi="Palatino Linotype"/>
          <w:b/>
          <w:color w:val="333333"/>
          <w:sz w:val="20"/>
          <w:szCs w:val="20"/>
          <w:vertAlign w:val="superscript"/>
          <w:lang w:val="id-ID"/>
        </w:rPr>
        <w:t>2</w:t>
      </w:r>
      <w:r w:rsidRPr="00FE65C9">
        <w:rPr>
          <w:rFonts w:ascii="Palatino Linotype" w:hAnsi="Palatino Linotype"/>
          <w:b/>
          <w:color w:val="333333"/>
          <w:sz w:val="20"/>
          <w:szCs w:val="20"/>
        </w:rPr>
        <w:t>Universit</w:t>
      </w:r>
      <w:r w:rsidRPr="00FE65C9">
        <w:rPr>
          <w:rFonts w:ascii="Palatino Linotype" w:hAnsi="Palatino Linotype"/>
          <w:b/>
          <w:color w:val="333333"/>
          <w:sz w:val="20"/>
          <w:szCs w:val="20"/>
          <w:lang w:val="id-ID"/>
        </w:rPr>
        <w:t>y</w:t>
      </w:r>
      <w:r w:rsidRPr="00FE65C9">
        <w:rPr>
          <w:rFonts w:ascii="Palatino Linotype" w:hAnsi="Palatino Linotype"/>
          <w:b/>
          <w:color w:val="333333"/>
          <w:sz w:val="20"/>
          <w:szCs w:val="20"/>
        </w:rPr>
        <w:t xml:space="preserve"> Lancang Kuning, Riau Indonesia, </w:t>
      </w:r>
      <w:hyperlink r:id="rId10" w:history="1">
        <w:r w:rsidRPr="00FE65C9">
          <w:rPr>
            <w:rStyle w:val="Hyperlink"/>
            <w:rFonts w:ascii="Palatino Linotype" w:hAnsi="Palatino Linotype"/>
            <w:b/>
            <w:sz w:val="20"/>
            <w:szCs w:val="20"/>
            <w:lang w:val="id-ID"/>
          </w:rPr>
          <w:t>ryanpahlawan</w:t>
        </w:r>
        <w:r w:rsidRPr="00FE65C9">
          <w:rPr>
            <w:rStyle w:val="Hyperlink"/>
            <w:rFonts w:ascii="Palatino Linotype" w:hAnsi="Palatino Linotype"/>
            <w:b/>
            <w:sz w:val="20"/>
            <w:szCs w:val="20"/>
          </w:rPr>
          <w:t>@</w:t>
        </w:r>
        <w:r w:rsidRPr="00FE65C9">
          <w:rPr>
            <w:rStyle w:val="Hyperlink"/>
            <w:rFonts w:ascii="Palatino Linotype" w:hAnsi="Palatino Linotype"/>
            <w:b/>
            <w:sz w:val="20"/>
            <w:szCs w:val="20"/>
            <w:lang w:val="id-ID"/>
          </w:rPr>
          <w:t>unilak</w:t>
        </w:r>
        <w:r w:rsidRPr="00FE65C9">
          <w:rPr>
            <w:rStyle w:val="Hyperlink"/>
            <w:rFonts w:ascii="Palatino Linotype" w:hAnsi="Palatino Linotype"/>
            <w:b/>
            <w:sz w:val="20"/>
            <w:szCs w:val="20"/>
          </w:rPr>
          <w:t>.</w:t>
        </w:r>
        <w:r w:rsidRPr="00FE65C9">
          <w:rPr>
            <w:rStyle w:val="Hyperlink"/>
            <w:rFonts w:ascii="Palatino Linotype" w:hAnsi="Palatino Linotype"/>
            <w:b/>
            <w:sz w:val="20"/>
            <w:szCs w:val="20"/>
            <w:lang w:val="id-ID"/>
          </w:rPr>
          <w:t>ac.id</w:t>
        </w:r>
      </w:hyperlink>
    </w:p>
    <w:p w:rsidR="00FE65C9" w:rsidRPr="00FE65C9" w:rsidRDefault="00FE65C9" w:rsidP="00FE65C9">
      <w:pPr>
        <w:pStyle w:val="NoSpacing"/>
        <w:jc w:val="center"/>
        <w:rPr>
          <w:rFonts w:ascii="Palatino Linotype" w:hAnsi="Palatino Linotype"/>
          <w:sz w:val="20"/>
          <w:szCs w:val="20"/>
        </w:rPr>
      </w:pPr>
    </w:p>
    <w:p w:rsidR="00FE65C9" w:rsidRPr="00FE65C9" w:rsidRDefault="00FE65C9" w:rsidP="00FE65C9">
      <w:pPr>
        <w:pStyle w:val="NoSpacing"/>
        <w:jc w:val="center"/>
        <w:rPr>
          <w:rFonts w:ascii="Palatino Linotype" w:hAnsi="Palatino Linotype"/>
          <w:sz w:val="20"/>
          <w:szCs w:val="20"/>
        </w:rPr>
      </w:pPr>
    </w:p>
    <w:p w:rsidR="00FE65C9" w:rsidRPr="00FE65C9" w:rsidRDefault="00FE65C9" w:rsidP="00FE65C9">
      <w:pPr>
        <w:pStyle w:val="NoSpacing"/>
        <w:rPr>
          <w:rFonts w:ascii="Palatino Linotype" w:hAnsi="Palatino Linotype"/>
          <w:i/>
          <w:sz w:val="20"/>
          <w:szCs w:val="20"/>
        </w:rPr>
      </w:pPr>
      <w:r w:rsidRPr="00FE65C9">
        <w:rPr>
          <w:rFonts w:ascii="Palatino Linotype" w:hAnsi="Palatino Linotype"/>
          <w:i/>
          <w:sz w:val="20"/>
          <w:szCs w:val="20"/>
        </w:rPr>
        <w:t>ABSTRACT</w:t>
      </w:r>
    </w:p>
    <w:p w:rsidR="00FE65C9" w:rsidRPr="00FE65C9" w:rsidRDefault="00FE65C9" w:rsidP="00FE65C9">
      <w:pPr>
        <w:pStyle w:val="NoSpacing"/>
        <w:jc w:val="center"/>
        <w:rPr>
          <w:rFonts w:ascii="Palatino Linotype" w:hAnsi="Palatino Linotype"/>
          <w:sz w:val="20"/>
          <w:szCs w:val="20"/>
        </w:rPr>
      </w:pPr>
    </w:p>
    <w:p w:rsidR="00FE65C9" w:rsidRPr="00FE65C9" w:rsidRDefault="00FE65C9" w:rsidP="00FE65C9">
      <w:pPr>
        <w:pStyle w:val="NoSpacing"/>
        <w:jc w:val="both"/>
        <w:rPr>
          <w:rFonts w:ascii="Palatino Linotype" w:hAnsi="Palatino Linotype"/>
          <w:sz w:val="20"/>
          <w:szCs w:val="20"/>
        </w:rPr>
      </w:pPr>
      <w:r w:rsidRPr="00FE65C9">
        <w:rPr>
          <w:rFonts w:ascii="Palatino Linotype" w:hAnsi="Palatino Linotype"/>
          <w:sz w:val="20"/>
          <w:szCs w:val="20"/>
        </w:rPr>
        <w:t>Electricity is a basic human need besides other staples, either for those of the small or large income. Those who are less able are given subsidies from the Government, but in 2017 the Government unilaterally increased the electric base rate (TDL) which certainly imposes on electricity bills.</w:t>
      </w:r>
      <w:r w:rsidRPr="00FE65C9">
        <w:rPr>
          <w:rFonts w:ascii="Palatino Linotype" w:hAnsi="Palatino Linotype"/>
          <w:sz w:val="20"/>
          <w:szCs w:val="20"/>
          <w:lang w:val="id-ID"/>
        </w:rPr>
        <w:t xml:space="preserve"> </w:t>
      </w:r>
      <w:r w:rsidRPr="00FE65C9">
        <w:rPr>
          <w:rStyle w:val="tlid-translation"/>
          <w:rFonts w:ascii="Palatino Linotype" w:hAnsi="Palatino Linotype"/>
          <w:sz w:val="20"/>
          <w:szCs w:val="20"/>
        </w:rPr>
        <w:t>Therefore, the purpose of this study is to see how the burden of expenditure borne by the household after the increase.</w:t>
      </w:r>
      <w:r w:rsidRPr="00FE65C9">
        <w:rPr>
          <w:rStyle w:val="tlid-translation"/>
          <w:rFonts w:ascii="Palatino Linotype" w:hAnsi="Palatino Linotype"/>
          <w:sz w:val="20"/>
          <w:szCs w:val="20"/>
          <w:lang w:val="id-ID"/>
        </w:rPr>
        <w:t xml:space="preserve"> </w:t>
      </w:r>
      <w:r w:rsidRPr="00FE65C9">
        <w:rPr>
          <w:rFonts w:ascii="Palatino Linotype" w:hAnsi="Palatino Linotype"/>
          <w:sz w:val="20"/>
          <w:szCs w:val="20"/>
        </w:rPr>
        <w:t>It was found that empirically the average in the expenditure of the communities after the increase was around Rp 100,000 to Rp 150,000, meanwhile, the average income level is Rp 0 to Rp 2.3 million. The tariff increase is not accompanied by revenue increase, thus, societies have to sacrifice other expenses for the sake of covering electricity cost.</w:t>
      </w:r>
    </w:p>
    <w:p w:rsidR="00FE65C9" w:rsidRPr="00FE65C9" w:rsidRDefault="00FE65C9" w:rsidP="00FE65C9">
      <w:pPr>
        <w:pStyle w:val="NoSpacing"/>
        <w:jc w:val="both"/>
        <w:rPr>
          <w:rFonts w:ascii="Palatino Linotype" w:hAnsi="Palatino Linotype"/>
          <w:sz w:val="20"/>
          <w:szCs w:val="20"/>
          <w:lang w:val="id-ID"/>
        </w:rPr>
      </w:pPr>
    </w:p>
    <w:p w:rsidR="00FE65C9" w:rsidRPr="00FE65C9" w:rsidRDefault="00FE65C9" w:rsidP="00FE65C9">
      <w:pPr>
        <w:pStyle w:val="NoSpacing"/>
        <w:jc w:val="both"/>
        <w:rPr>
          <w:rFonts w:ascii="Palatino Linotype" w:hAnsi="Palatino Linotype"/>
          <w:sz w:val="20"/>
          <w:szCs w:val="20"/>
        </w:rPr>
      </w:pPr>
      <w:r w:rsidRPr="00FE65C9">
        <w:rPr>
          <w:rFonts w:ascii="Palatino Linotype" w:hAnsi="Palatino Linotype"/>
          <w:sz w:val="20"/>
          <w:szCs w:val="20"/>
        </w:rPr>
        <w:t xml:space="preserve">Key words: </w:t>
      </w:r>
      <w:r w:rsidRPr="00FE65C9">
        <w:rPr>
          <w:rFonts w:ascii="Palatino Linotype" w:hAnsi="Palatino Linotype"/>
          <w:i/>
          <w:sz w:val="20"/>
          <w:szCs w:val="20"/>
        </w:rPr>
        <w:t>Household expenses</w:t>
      </w:r>
    </w:p>
    <w:p w:rsidR="00FE65C9" w:rsidRPr="00FE65C9" w:rsidRDefault="00FE65C9" w:rsidP="00FE65C9">
      <w:pPr>
        <w:pStyle w:val="NoSpacing"/>
        <w:jc w:val="both"/>
        <w:rPr>
          <w:rFonts w:ascii="Palatino Linotype" w:hAnsi="Palatino Linotype"/>
          <w:sz w:val="20"/>
          <w:szCs w:val="20"/>
          <w:lang w:val="id-ID"/>
        </w:rPr>
      </w:pPr>
    </w:p>
    <w:p w:rsidR="00FE65C9" w:rsidRPr="00FE65C9" w:rsidRDefault="00FE65C9" w:rsidP="00FE65C9">
      <w:pPr>
        <w:pStyle w:val="NoSpacing"/>
        <w:jc w:val="both"/>
        <w:rPr>
          <w:rFonts w:ascii="Palatino Linotype" w:hAnsi="Palatino Linotype"/>
          <w:b/>
          <w:sz w:val="20"/>
          <w:szCs w:val="20"/>
          <w:lang w:val="id-ID"/>
        </w:rPr>
      </w:pPr>
      <w:r w:rsidRPr="00FE65C9">
        <w:rPr>
          <w:rFonts w:ascii="Palatino Linotype" w:hAnsi="Palatino Linotype"/>
          <w:b/>
          <w:sz w:val="20"/>
          <w:szCs w:val="20"/>
        </w:rPr>
        <w:t>Introduction</w:t>
      </w:r>
    </w:p>
    <w:p w:rsidR="00FE65C9" w:rsidRPr="00FE65C9" w:rsidRDefault="00FE65C9" w:rsidP="00FE65C9">
      <w:pPr>
        <w:pStyle w:val="NoSpacing"/>
        <w:ind w:firstLine="709"/>
        <w:jc w:val="both"/>
        <w:rPr>
          <w:rFonts w:ascii="Palatino Linotype" w:hAnsi="Palatino Linotype"/>
          <w:sz w:val="20"/>
          <w:szCs w:val="20"/>
          <w:lang w:val="id-ID"/>
        </w:rPr>
      </w:pPr>
      <w:r w:rsidRPr="00FE65C9">
        <w:rPr>
          <w:rStyle w:val="tlid-translation"/>
          <w:rFonts w:ascii="Palatino Linotype" w:hAnsi="Palatino Linotype"/>
          <w:sz w:val="20"/>
          <w:szCs w:val="20"/>
        </w:rPr>
        <w:t>The purpose of this study is to see how the burden is borne by every household after the increase in electricity tariff, the burden of household expenditure will certainly increase after the increase and not offset by the increase in income. This is greatly felt by households that use 450 watts of power up to 900 watts.</w:t>
      </w:r>
    </w:p>
    <w:p w:rsidR="00FE65C9" w:rsidRPr="00FE65C9" w:rsidRDefault="00FE65C9" w:rsidP="00FE65C9">
      <w:pPr>
        <w:pStyle w:val="NoSpacing"/>
        <w:ind w:firstLine="720"/>
        <w:jc w:val="both"/>
        <w:rPr>
          <w:rFonts w:ascii="Palatino Linotype" w:hAnsi="Palatino Linotype"/>
          <w:sz w:val="20"/>
          <w:szCs w:val="20"/>
        </w:rPr>
      </w:pPr>
      <w:r w:rsidRPr="00FE65C9">
        <w:rPr>
          <w:rFonts w:ascii="Palatino Linotype" w:hAnsi="Palatino Linotype"/>
          <w:sz w:val="20"/>
          <w:szCs w:val="20"/>
        </w:rPr>
        <w:t xml:space="preserve">The use of electricity ranges from 450 Watts, 900 Watts, 1200 Watts and above 1200 Watts. The need is dependent on the family income among the societies. In 2017, Government has raised the basic tariff of electricity without issuing notice to its society, whereas, it concerns with public life in the city. </w:t>
      </w:r>
    </w:p>
    <w:p w:rsidR="00FE65C9" w:rsidRPr="00FE65C9" w:rsidRDefault="00FE65C9" w:rsidP="00FE65C9">
      <w:pPr>
        <w:pStyle w:val="NoSpacing"/>
        <w:ind w:firstLine="720"/>
        <w:jc w:val="both"/>
        <w:rPr>
          <w:rFonts w:ascii="Palatino Linotype" w:hAnsi="Palatino Linotype"/>
          <w:sz w:val="20"/>
          <w:szCs w:val="20"/>
          <w:lang w:val="id-ID"/>
        </w:rPr>
      </w:pPr>
      <w:r w:rsidRPr="00FE65C9">
        <w:rPr>
          <w:rFonts w:ascii="Palatino Linotype" w:hAnsi="Palatino Linotype"/>
          <w:sz w:val="20"/>
          <w:szCs w:val="20"/>
        </w:rPr>
        <w:t>The community was so surprised when the electric bill for pre-paid or post-paid, for City area also underwent a rise in price all over Indonesia. Government was supposed to socialize concerning the issues of the rise because people have been experiencing economic difficulties in recent years. As a result, the community raised a protest.</w:t>
      </w:r>
    </w:p>
    <w:p w:rsidR="00FE65C9" w:rsidRPr="00FE65C9" w:rsidRDefault="00FE65C9" w:rsidP="00FE65C9">
      <w:pPr>
        <w:pStyle w:val="NoSpacing"/>
        <w:ind w:firstLine="720"/>
        <w:jc w:val="both"/>
        <w:rPr>
          <w:rFonts w:ascii="Palatino Linotype" w:hAnsi="Palatino Linotype"/>
          <w:sz w:val="20"/>
          <w:szCs w:val="20"/>
        </w:rPr>
      </w:pPr>
      <w:r w:rsidRPr="00FE65C9">
        <w:rPr>
          <w:rFonts w:ascii="Palatino Linotype" w:hAnsi="Palatino Linotype"/>
          <w:sz w:val="20"/>
          <w:szCs w:val="20"/>
        </w:rPr>
        <w:t xml:space="preserve">In March 2017, government already raised the basic tariff. This could be seen in electric capacity of 900 Watts token power supply with the value of purchase of Rp 50,000 getting 63 kwh (Rp 793 per kwh) while before it was 75 kwh (Rp 666 per kwh). Then in June 2017, without notice it again raised, Rp 50,000 purchase tokens (Rp 1,136 per kwh) was given only 44 kwh. Seen through the year of 2017 Government has already increased the tariff up to more than 100%. </w:t>
      </w:r>
    </w:p>
    <w:p w:rsidR="00FE65C9" w:rsidRPr="00FE65C9" w:rsidRDefault="00FE65C9" w:rsidP="00FE65C9">
      <w:pPr>
        <w:pStyle w:val="NoSpacing"/>
        <w:ind w:firstLine="720"/>
        <w:jc w:val="both"/>
        <w:rPr>
          <w:rFonts w:ascii="Palatino Linotype" w:hAnsi="Palatino Linotype"/>
          <w:sz w:val="20"/>
          <w:szCs w:val="20"/>
          <w:lang w:val="id-ID"/>
        </w:rPr>
      </w:pPr>
      <w:r w:rsidRPr="00FE65C9">
        <w:rPr>
          <w:rFonts w:ascii="Palatino Linotype" w:hAnsi="Palatino Linotype"/>
          <w:sz w:val="20"/>
          <w:szCs w:val="20"/>
        </w:rPr>
        <w:t>The Government through the Minister of Mineral Resources stated that there will be no more raise until the coming December, 2017. In the absence of electricity tariff increase or by not changing it until December 2017, then tariffs for low voltage customers (TR) is Rp 1,467.28 per kilo Watt hour (kWh), medium voltage electricity rates (TM) is Rp 1,114 ultra-compact per kWh, electricity rates Voltage High (TT) is Rp 996.74 per kWh, and electricity rates in the Special Service is of Rp 1,644.52 per kWh (</w:t>
      </w:r>
      <w:hyperlink r:id="rId11" w:history="1">
        <w:r w:rsidRPr="00FE65C9">
          <w:rPr>
            <w:rStyle w:val="Hyperlink"/>
            <w:rFonts w:ascii="Palatino Linotype" w:hAnsi="Palatino Linotype"/>
            <w:sz w:val="20"/>
            <w:szCs w:val="20"/>
          </w:rPr>
          <w:t>www.liputan6.com</w:t>
        </w:r>
      </w:hyperlink>
      <w:r w:rsidRPr="00FE65C9">
        <w:rPr>
          <w:rFonts w:ascii="Palatino Linotype" w:hAnsi="Palatino Linotype"/>
          <w:sz w:val="20"/>
          <w:szCs w:val="20"/>
        </w:rPr>
        <w:t xml:space="preserve">). </w:t>
      </w:r>
    </w:p>
    <w:p w:rsidR="00FE65C9" w:rsidRPr="00FE65C9" w:rsidRDefault="00FE65C9" w:rsidP="00FE65C9">
      <w:pPr>
        <w:pStyle w:val="NoSpacing"/>
        <w:ind w:firstLine="720"/>
        <w:jc w:val="both"/>
        <w:rPr>
          <w:rFonts w:ascii="Palatino Linotype" w:hAnsi="Palatino Linotype"/>
          <w:sz w:val="20"/>
          <w:szCs w:val="20"/>
          <w:lang w:val="id-ID" w:eastAsia="id-ID"/>
        </w:rPr>
      </w:pPr>
      <w:r w:rsidRPr="00FE65C9">
        <w:rPr>
          <w:rFonts w:ascii="Palatino Linotype" w:hAnsi="Palatino Linotype"/>
          <w:sz w:val="20"/>
          <w:szCs w:val="20"/>
        </w:rPr>
        <w:lastRenderedPageBreak/>
        <w:t>Electricity tariff rates 13, inwhich the customers are currently no longer subsidized are: R1 households with low voltage power supply, 900 VA, R1-homes with low voltage power supply, 1300 VA, R1-home with low voltage power, 2200 VA, R1- secondary Home with low voltage power supply ranging from 3500 to 5500 VA, R3-primary homes with low voltage power 6600 VA upwards, B2-intermediate Business with low voltage power supply, 6600 VA up to 200 KVA, B3-big business with low voltage power above 200 kVA, P1-government Office with low-power, 6600 VA to 200 kVA, I3 Industrial use- secondary medium voltage power above 200 kVA, I4 industrial high voltage power 30 MVA and above, P2- government Office with medium voltage power above 200 kVA, P3-public street light with low voltage and L-special services.</w:t>
      </w:r>
    </w:p>
    <w:p w:rsidR="00FE65C9" w:rsidRPr="00FE65C9" w:rsidRDefault="00FE65C9" w:rsidP="00FE65C9">
      <w:pPr>
        <w:pStyle w:val="NoSpacing"/>
        <w:ind w:firstLine="720"/>
        <w:jc w:val="both"/>
        <w:rPr>
          <w:rFonts w:ascii="Palatino Linotype" w:hAnsi="Palatino Linotype"/>
          <w:sz w:val="20"/>
          <w:szCs w:val="20"/>
        </w:rPr>
      </w:pPr>
      <w:r w:rsidRPr="00FE65C9">
        <w:rPr>
          <w:rFonts w:ascii="Palatino Linotype" w:hAnsi="Palatino Linotype"/>
          <w:sz w:val="20"/>
          <w:szCs w:val="20"/>
        </w:rPr>
        <w:t>Managing Director of the State Electricity Company (PLN), Sofyan Basir, commented that the issue of basic electricity increase rate was deliberately presented to put it into government’s concern. Regarding the rise in electricity price perceived by some consumers, it is because consumers classified as the middle economy have been receiving electricity subsidies that should have been given to people with low income (nasiona</w:t>
      </w:r>
      <w:r w:rsidRPr="00FE65C9">
        <w:rPr>
          <w:rFonts w:ascii="Palatino Linotype" w:hAnsi="Palatino Linotype"/>
          <w:sz w:val="20"/>
          <w:szCs w:val="20"/>
          <w:lang w:val="id-ID"/>
        </w:rPr>
        <w:t xml:space="preserve"> b                                  caaqa</w:t>
      </w:r>
      <w:r w:rsidRPr="00FE65C9">
        <w:rPr>
          <w:rFonts w:ascii="Palatino Linotype" w:hAnsi="Palatino Linotype"/>
          <w:sz w:val="20"/>
          <w:szCs w:val="20"/>
        </w:rPr>
        <w:t xml:space="preserve">l.kompas.com). </w:t>
      </w:r>
    </w:p>
    <w:p w:rsidR="00FE65C9" w:rsidRPr="00FE65C9" w:rsidRDefault="00FE65C9" w:rsidP="00FE65C9">
      <w:pPr>
        <w:pStyle w:val="NoSpacing"/>
        <w:ind w:firstLine="720"/>
        <w:jc w:val="both"/>
        <w:rPr>
          <w:rFonts w:ascii="Palatino Linotype" w:hAnsi="Palatino Linotype"/>
          <w:sz w:val="20"/>
          <w:szCs w:val="20"/>
          <w:lang w:val="id-ID"/>
        </w:rPr>
      </w:pPr>
      <w:r w:rsidRPr="00FE65C9">
        <w:rPr>
          <w:rFonts w:ascii="Palatino Linotype" w:hAnsi="Palatino Linotype"/>
          <w:sz w:val="20"/>
          <w:szCs w:val="20"/>
        </w:rPr>
        <w:t xml:space="preserve">Government statement is inconsistent, in its preliminary statements it was said that there would be no increase except only partial increase of consumers classified as medium economy. Thus, does the government have a category to define middle-class society, or just let it be more easily seen from the minimum wage? For Pekanbaru City, the minimum wage is Rp 2.352.570 (pekanbaru.tribunnews.com). Can, then, those who earn UMK (minimum wage) be categorized as economically capable? </w:t>
      </w:r>
    </w:p>
    <w:p w:rsidR="00FE65C9" w:rsidRPr="00FE65C9" w:rsidRDefault="00FE65C9" w:rsidP="00FE65C9">
      <w:pPr>
        <w:pStyle w:val="NoSpacing"/>
        <w:ind w:firstLine="720"/>
        <w:jc w:val="both"/>
        <w:rPr>
          <w:rFonts w:ascii="Palatino Linotype" w:hAnsi="Palatino Linotype"/>
          <w:sz w:val="20"/>
          <w:szCs w:val="20"/>
        </w:rPr>
      </w:pPr>
      <w:r w:rsidRPr="00FE65C9">
        <w:rPr>
          <w:rFonts w:ascii="Palatino Linotype" w:hAnsi="Palatino Linotype"/>
          <w:sz w:val="20"/>
          <w:szCs w:val="20"/>
        </w:rPr>
        <w:t xml:space="preserve">An increase in TDL above 100% during 2017 is considered very burdensome in middle-class society up to lower-class society. It is, of course, household expenses will increase in line with the increase in electricity bills paid per month including those who use electricity token (pre paid). While the salary did not increase, inflation was predicted to rise by 0.30% (business tempo), and this impact also takes place in Pekanbaru people. The same problem occurs not only in big cities in Indonesia, but also in Pekanbaru in terms of living cost. Before the increase in basic tariff of electricity price, household expenses are hard enough to meet especially the primary needs, education and other expenses. </w:t>
      </w:r>
    </w:p>
    <w:p w:rsidR="00FE65C9" w:rsidRPr="00FE65C9" w:rsidRDefault="00FE65C9" w:rsidP="00FE65C9">
      <w:pPr>
        <w:pStyle w:val="NoSpacing"/>
        <w:jc w:val="both"/>
        <w:rPr>
          <w:rFonts w:ascii="Palatino Linotype" w:hAnsi="Palatino Linotype"/>
          <w:b/>
          <w:sz w:val="20"/>
          <w:szCs w:val="20"/>
          <w:lang w:val="id-ID"/>
        </w:rPr>
      </w:pPr>
    </w:p>
    <w:p w:rsidR="00FE65C9" w:rsidRPr="00FE65C9" w:rsidRDefault="00FE65C9" w:rsidP="00FE65C9">
      <w:pPr>
        <w:pStyle w:val="NoSpacing"/>
        <w:jc w:val="both"/>
        <w:rPr>
          <w:rFonts w:ascii="Palatino Linotype" w:hAnsi="Palatino Linotype"/>
          <w:b/>
          <w:sz w:val="20"/>
          <w:szCs w:val="20"/>
          <w:lang w:val="id-ID"/>
        </w:rPr>
      </w:pPr>
      <w:r w:rsidRPr="00FE65C9">
        <w:rPr>
          <w:rFonts w:ascii="Palatino Linotype" w:hAnsi="Palatino Linotype"/>
          <w:b/>
          <w:sz w:val="20"/>
          <w:szCs w:val="20"/>
        </w:rPr>
        <w:t>Method</w:t>
      </w:r>
    </w:p>
    <w:p w:rsidR="00FE65C9" w:rsidRPr="00FE65C9" w:rsidRDefault="00FE65C9" w:rsidP="00FE65C9">
      <w:pPr>
        <w:pStyle w:val="NoSpacing"/>
        <w:ind w:firstLine="720"/>
        <w:jc w:val="both"/>
        <w:rPr>
          <w:rFonts w:ascii="Palatino Linotype" w:hAnsi="Palatino Linotype"/>
          <w:sz w:val="20"/>
          <w:szCs w:val="20"/>
        </w:rPr>
      </w:pPr>
      <w:r w:rsidRPr="00FE65C9">
        <w:rPr>
          <w:rFonts w:ascii="Palatino Linotype" w:hAnsi="Palatino Linotype"/>
          <w:sz w:val="20"/>
          <w:szCs w:val="20"/>
        </w:rPr>
        <w:t>The population in this research is a community of the city of Pekanbaru using random sampling method with 567 respondents. This research uses descriptive method in order to look at household expenses after the increase of basic electricity rate (TDL). The data taken was conducted by carrying out a detailed questionnaire and interview with some employees.</w:t>
      </w:r>
    </w:p>
    <w:p w:rsidR="00FE65C9" w:rsidRPr="00FE65C9" w:rsidRDefault="00FE65C9" w:rsidP="00FE65C9">
      <w:pPr>
        <w:pStyle w:val="NoSpacing"/>
        <w:jc w:val="both"/>
        <w:rPr>
          <w:rFonts w:ascii="Palatino Linotype" w:hAnsi="Palatino Linotype"/>
          <w:sz w:val="20"/>
          <w:szCs w:val="20"/>
          <w:lang w:val="id-ID"/>
        </w:rPr>
      </w:pPr>
    </w:p>
    <w:p w:rsidR="00FE65C9" w:rsidRPr="00FE65C9" w:rsidRDefault="00FE65C9" w:rsidP="00FE65C9">
      <w:pPr>
        <w:pStyle w:val="NoSpacing"/>
        <w:jc w:val="both"/>
        <w:rPr>
          <w:rFonts w:ascii="Palatino Linotype" w:hAnsi="Palatino Linotype"/>
          <w:b/>
          <w:sz w:val="20"/>
          <w:szCs w:val="20"/>
          <w:lang w:val="id-ID"/>
        </w:rPr>
      </w:pPr>
      <w:r w:rsidRPr="00FE65C9">
        <w:rPr>
          <w:rFonts w:ascii="Palatino Linotype" w:hAnsi="Palatino Linotype"/>
          <w:b/>
          <w:sz w:val="20"/>
          <w:szCs w:val="20"/>
          <w:lang w:val="id-ID"/>
        </w:rPr>
        <w:t>Result and discusion</w:t>
      </w:r>
    </w:p>
    <w:p w:rsidR="00FE65C9" w:rsidRPr="00FE65C9" w:rsidRDefault="00FE65C9" w:rsidP="00FE65C9">
      <w:pPr>
        <w:pStyle w:val="NoSpacing"/>
        <w:jc w:val="both"/>
        <w:rPr>
          <w:rFonts w:ascii="Palatino Linotype" w:hAnsi="Palatino Linotype"/>
          <w:b/>
          <w:sz w:val="20"/>
          <w:szCs w:val="20"/>
        </w:rPr>
      </w:pPr>
      <w:r w:rsidRPr="00FE65C9">
        <w:rPr>
          <w:rFonts w:ascii="Palatino Linotype" w:hAnsi="Palatino Linotype"/>
          <w:b/>
          <w:sz w:val="20"/>
          <w:szCs w:val="20"/>
        </w:rPr>
        <w:t>Result</w:t>
      </w:r>
    </w:p>
    <w:p w:rsidR="00FE65C9" w:rsidRPr="008F7EAC" w:rsidRDefault="00FE65C9" w:rsidP="008F7EAC">
      <w:pPr>
        <w:pStyle w:val="NoSpacing"/>
        <w:ind w:firstLine="720"/>
        <w:jc w:val="both"/>
        <w:rPr>
          <w:rFonts w:ascii="Palatino Linotype" w:hAnsi="Palatino Linotype"/>
          <w:sz w:val="20"/>
          <w:szCs w:val="20"/>
        </w:rPr>
      </w:pPr>
      <w:r w:rsidRPr="00FE65C9">
        <w:rPr>
          <w:rFonts w:ascii="Palatino Linotype" w:hAnsi="Palatino Linotype"/>
          <w:sz w:val="20"/>
          <w:szCs w:val="20"/>
        </w:rPr>
        <w:t>Based on the data taken from 567 respondents and 1,011,467 population it was found and described in table 1 below.</w:t>
      </w:r>
    </w:p>
    <w:p w:rsidR="00FE65C9" w:rsidRPr="00FE65C9" w:rsidRDefault="00FE65C9" w:rsidP="00FE65C9">
      <w:pPr>
        <w:pStyle w:val="NoSpacing"/>
        <w:jc w:val="center"/>
        <w:rPr>
          <w:rFonts w:ascii="Palatino Linotype" w:hAnsi="Palatino Linotype"/>
          <w:b/>
          <w:color w:val="000000"/>
          <w:sz w:val="20"/>
          <w:szCs w:val="20"/>
        </w:rPr>
      </w:pPr>
      <w:r w:rsidRPr="00FE65C9">
        <w:rPr>
          <w:rFonts w:ascii="Palatino Linotype" w:hAnsi="Palatino Linotype"/>
          <w:b/>
          <w:color w:val="000000"/>
          <w:sz w:val="20"/>
          <w:szCs w:val="20"/>
        </w:rPr>
        <w:t>Tab</w:t>
      </w:r>
      <w:r w:rsidRPr="00FE65C9">
        <w:rPr>
          <w:rFonts w:ascii="Palatino Linotype" w:hAnsi="Palatino Linotype"/>
          <w:b/>
          <w:color w:val="000000"/>
          <w:sz w:val="20"/>
          <w:szCs w:val="20"/>
          <w:lang w:val="id-ID"/>
        </w:rPr>
        <w:t>le</w:t>
      </w:r>
      <w:r w:rsidRPr="00FE65C9">
        <w:rPr>
          <w:rFonts w:ascii="Palatino Linotype" w:hAnsi="Palatino Linotype"/>
          <w:b/>
          <w:color w:val="000000"/>
          <w:sz w:val="20"/>
          <w:szCs w:val="20"/>
        </w:rPr>
        <w:t xml:space="preserve"> 1. Respondents income</w:t>
      </w:r>
    </w:p>
    <w:tbl>
      <w:tblPr>
        <w:tblW w:w="4262" w:type="dxa"/>
        <w:jc w:val="center"/>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9"/>
        <w:gridCol w:w="1276"/>
        <w:gridCol w:w="1227"/>
      </w:tblGrid>
      <w:tr w:rsidR="00FE65C9" w:rsidRPr="00FE65C9" w:rsidTr="00090C65">
        <w:trPr>
          <w:jc w:val="center"/>
        </w:trPr>
        <w:tc>
          <w:tcPr>
            <w:tcW w:w="1778" w:type="dxa"/>
            <w:shd w:val="clear" w:color="auto" w:fill="auto"/>
          </w:tcPr>
          <w:p w:rsidR="00FE65C9" w:rsidRPr="00FE65C9" w:rsidRDefault="00FE65C9" w:rsidP="00090C65">
            <w:pPr>
              <w:pStyle w:val="NoSpacing"/>
              <w:jc w:val="both"/>
              <w:rPr>
                <w:rFonts w:ascii="Palatino Linotype" w:hAnsi="Palatino Linotype"/>
                <w:sz w:val="20"/>
                <w:szCs w:val="20"/>
              </w:rPr>
            </w:pPr>
            <w:r w:rsidRPr="00FE65C9">
              <w:rPr>
                <w:rFonts w:ascii="Palatino Linotype" w:hAnsi="Palatino Linotype"/>
                <w:sz w:val="20"/>
                <w:szCs w:val="20"/>
              </w:rPr>
              <w:t>Number of Income</w:t>
            </w:r>
          </w:p>
        </w:tc>
        <w:tc>
          <w:tcPr>
            <w:tcW w:w="1255" w:type="dxa"/>
            <w:shd w:val="clear" w:color="auto" w:fill="auto"/>
          </w:tcPr>
          <w:p w:rsidR="00FE65C9" w:rsidRPr="00FE65C9" w:rsidRDefault="00FE65C9" w:rsidP="00090C65">
            <w:pPr>
              <w:pStyle w:val="NoSpacing"/>
              <w:jc w:val="both"/>
              <w:rPr>
                <w:rFonts w:ascii="Palatino Linotype" w:hAnsi="Palatino Linotype"/>
                <w:sz w:val="20"/>
                <w:szCs w:val="20"/>
              </w:rPr>
            </w:pPr>
            <w:r w:rsidRPr="00FE65C9">
              <w:rPr>
                <w:rFonts w:ascii="Palatino Linotype" w:hAnsi="Palatino Linotype"/>
                <w:sz w:val="20"/>
                <w:szCs w:val="20"/>
              </w:rPr>
              <w:t xml:space="preserve">Respondent </w:t>
            </w:r>
          </w:p>
        </w:tc>
        <w:tc>
          <w:tcPr>
            <w:tcW w:w="1229" w:type="dxa"/>
            <w:shd w:val="clear" w:color="auto" w:fill="auto"/>
          </w:tcPr>
          <w:p w:rsidR="00FE65C9" w:rsidRPr="00FE65C9" w:rsidRDefault="00FE65C9" w:rsidP="00090C65">
            <w:pPr>
              <w:pStyle w:val="NoSpacing"/>
              <w:jc w:val="both"/>
              <w:rPr>
                <w:rFonts w:ascii="Palatino Linotype" w:hAnsi="Palatino Linotype"/>
                <w:sz w:val="20"/>
                <w:szCs w:val="20"/>
              </w:rPr>
            </w:pPr>
            <w:r w:rsidRPr="00FE65C9">
              <w:rPr>
                <w:rFonts w:ascii="Palatino Linotype" w:hAnsi="Palatino Linotype"/>
                <w:sz w:val="20"/>
                <w:szCs w:val="20"/>
              </w:rPr>
              <w:t>Persentase</w:t>
            </w:r>
          </w:p>
        </w:tc>
      </w:tr>
      <w:tr w:rsidR="00FE65C9" w:rsidRPr="00FE65C9" w:rsidTr="00090C65">
        <w:trPr>
          <w:jc w:val="center"/>
        </w:trPr>
        <w:tc>
          <w:tcPr>
            <w:tcW w:w="1778"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Rp 0 – Rp 2.300.000</w:t>
            </w:r>
          </w:p>
        </w:tc>
        <w:tc>
          <w:tcPr>
            <w:tcW w:w="1255" w:type="dxa"/>
            <w:shd w:val="clear" w:color="auto" w:fill="auto"/>
          </w:tcPr>
          <w:p w:rsidR="00FE65C9" w:rsidRPr="00FE65C9" w:rsidRDefault="00FE65C9" w:rsidP="00090C65">
            <w:pPr>
              <w:pStyle w:val="NoSpacing"/>
              <w:jc w:val="center"/>
              <w:rPr>
                <w:rFonts w:ascii="Palatino Linotype" w:hAnsi="Palatino Linotype"/>
                <w:color w:val="000000"/>
                <w:sz w:val="20"/>
                <w:szCs w:val="20"/>
              </w:rPr>
            </w:pPr>
            <w:r w:rsidRPr="00FE65C9">
              <w:rPr>
                <w:rFonts w:ascii="Palatino Linotype" w:hAnsi="Palatino Linotype"/>
                <w:color w:val="000000"/>
                <w:sz w:val="20"/>
                <w:szCs w:val="20"/>
              </w:rPr>
              <w:t>315</w:t>
            </w:r>
          </w:p>
        </w:tc>
        <w:tc>
          <w:tcPr>
            <w:tcW w:w="1229"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57 %</w:t>
            </w:r>
          </w:p>
        </w:tc>
      </w:tr>
      <w:tr w:rsidR="00FE65C9" w:rsidRPr="00FE65C9" w:rsidTr="00090C65">
        <w:trPr>
          <w:jc w:val="center"/>
        </w:trPr>
        <w:tc>
          <w:tcPr>
            <w:tcW w:w="1778"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Rp 2.300.001 s/d Rp 5.000.000</w:t>
            </w:r>
          </w:p>
        </w:tc>
        <w:tc>
          <w:tcPr>
            <w:tcW w:w="1255" w:type="dxa"/>
            <w:shd w:val="clear" w:color="auto" w:fill="auto"/>
          </w:tcPr>
          <w:p w:rsidR="00FE65C9" w:rsidRPr="00FE65C9" w:rsidRDefault="00FE65C9" w:rsidP="00090C65">
            <w:pPr>
              <w:pStyle w:val="NoSpacing"/>
              <w:jc w:val="center"/>
              <w:rPr>
                <w:rFonts w:ascii="Palatino Linotype" w:hAnsi="Palatino Linotype"/>
                <w:color w:val="000000"/>
                <w:sz w:val="20"/>
                <w:szCs w:val="20"/>
              </w:rPr>
            </w:pPr>
            <w:r w:rsidRPr="00FE65C9">
              <w:rPr>
                <w:rFonts w:ascii="Palatino Linotype" w:hAnsi="Palatino Linotype"/>
                <w:color w:val="000000"/>
                <w:sz w:val="20"/>
                <w:szCs w:val="20"/>
              </w:rPr>
              <w:t>189</w:t>
            </w:r>
          </w:p>
        </w:tc>
        <w:tc>
          <w:tcPr>
            <w:tcW w:w="1229"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34 %</w:t>
            </w:r>
          </w:p>
        </w:tc>
      </w:tr>
      <w:tr w:rsidR="00FE65C9" w:rsidRPr="00FE65C9" w:rsidTr="00090C65">
        <w:trPr>
          <w:jc w:val="center"/>
        </w:trPr>
        <w:tc>
          <w:tcPr>
            <w:tcW w:w="1778"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Rp 5.000.0001 s/d Rp 8.000.000</w:t>
            </w:r>
          </w:p>
        </w:tc>
        <w:tc>
          <w:tcPr>
            <w:tcW w:w="1255" w:type="dxa"/>
            <w:shd w:val="clear" w:color="auto" w:fill="auto"/>
          </w:tcPr>
          <w:p w:rsidR="00FE65C9" w:rsidRPr="00FE65C9" w:rsidRDefault="00FE65C9" w:rsidP="00090C65">
            <w:pPr>
              <w:pStyle w:val="NoSpacing"/>
              <w:jc w:val="center"/>
              <w:rPr>
                <w:rFonts w:ascii="Palatino Linotype" w:hAnsi="Palatino Linotype"/>
                <w:color w:val="000000"/>
                <w:sz w:val="20"/>
                <w:szCs w:val="20"/>
              </w:rPr>
            </w:pPr>
            <w:r w:rsidRPr="00FE65C9">
              <w:rPr>
                <w:rFonts w:ascii="Palatino Linotype" w:hAnsi="Palatino Linotype"/>
                <w:color w:val="000000"/>
                <w:sz w:val="20"/>
                <w:szCs w:val="20"/>
              </w:rPr>
              <w:t>50</w:t>
            </w:r>
          </w:p>
        </w:tc>
        <w:tc>
          <w:tcPr>
            <w:tcW w:w="1229"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7 %</w:t>
            </w:r>
          </w:p>
        </w:tc>
      </w:tr>
      <w:tr w:rsidR="00FE65C9" w:rsidRPr="00FE65C9" w:rsidTr="00090C65">
        <w:trPr>
          <w:jc w:val="center"/>
        </w:trPr>
        <w:tc>
          <w:tcPr>
            <w:tcW w:w="1778"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Above Rp 8.000.001</w:t>
            </w:r>
          </w:p>
        </w:tc>
        <w:tc>
          <w:tcPr>
            <w:tcW w:w="1255" w:type="dxa"/>
            <w:shd w:val="clear" w:color="auto" w:fill="auto"/>
          </w:tcPr>
          <w:p w:rsidR="00FE65C9" w:rsidRPr="00FE65C9" w:rsidRDefault="00FE65C9" w:rsidP="00090C65">
            <w:pPr>
              <w:pStyle w:val="NoSpacing"/>
              <w:jc w:val="center"/>
              <w:rPr>
                <w:rFonts w:ascii="Palatino Linotype" w:hAnsi="Palatino Linotype"/>
                <w:color w:val="000000"/>
                <w:sz w:val="20"/>
                <w:szCs w:val="20"/>
              </w:rPr>
            </w:pPr>
            <w:r w:rsidRPr="00FE65C9">
              <w:rPr>
                <w:rFonts w:ascii="Palatino Linotype" w:hAnsi="Palatino Linotype"/>
                <w:color w:val="000000"/>
                <w:sz w:val="20"/>
                <w:szCs w:val="20"/>
              </w:rPr>
              <w:t>13</w:t>
            </w:r>
          </w:p>
        </w:tc>
        <w:tc>
          <w:tcPr>
            <w:tcW w:w="1229"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2 %</w:t>
            </w:r>
          </w:p>
        </w:tc>
      </w:tr>
      <w:tr w:rsidR="00FE65C9" w:rsidRPr="00FE65C9" w:rsidTr="00090C65">
        <w:trPr>
          <w:jc w:val="center"/>
        </w:trPr>
        <w:tc>
          <w:tcPr>
            <w:tcW w:w="1778"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b/>
                <w:color w:val="000000"/>
                <w:sz w:val="20"/>
                <w:szCs w:val="20"/>
              </w:rPr>
              <w:t>TOTAL</w:t>
            </w:r>
          </w:p>
        </w:tc>
        <w:tc>
          <w:tcPr>
            <w:tcW w:w="1255" w:type="dxa"/>
            <w:shd w:val="clear" w:color="auto" w:fill="auto"/>
          </w:tcPr>
          <w:p w:rsidR="00FE65C9" w:rsidRPr="00FE65C9" w:rsidRDefault="00FE65C9" w:rsidP="00090C65">
            <w:pPr>
              <w:pStyle w:val="NoSpacing"/>
              <w:jc w:val="center"/>
              <w:rPr>
                <w:rFonts w:ascii="Palatino Linotype" w:hAnsi="Palatino Linotype"/>
                <w:b/>
                <w:color w:val="000000"/>
                <w:sz w:val="20"/>
                <w:szCs w:val="20"/>
              </w:rPr>
            </w:pPr>
            <w:r w:rsidRPr="00FE65C9">
              <w:rPr>
                <w:rFonts w:ascii="Palatino Linotype" w:hAnsi="Palatino Linotype"/>
                <w:b/>
                <w:color w:val="000000"/>
                <w:sz w:val="20"/>
                <w:szCs w:val="20"/>
              </w:rPr>
              <w:t>567</w:t>
            </w:r>
          </w:p>
        </w:tc>
        <w:tc>
          <w:tcPr>
            <w:tcW w:w="1229" w:type="dxa"/>
            <w:shd w:val="clear" w:color="auto" w:fill="auto"/>
          </w:tcPr>
          <w:p w:rsidR="00FE65C9" w:rsidRPr="00FE65C9" w:rsidRDefault="00FE65C9" w:rsidP="00090C65">
            <w:pPr>
              <w:pStyle w:val="NoSpacing"/>
              <w:jc w:val="both"/>
              <w:rPr>
                <w:rFonts w:ascii="Palatino Linotype" w:hAnsi="Palatino Linotype"/>
                <w:b/>
                <w:color w:val="000000"/>
                <w:sz w:val="20"/>
                <w:szCs w:val="20"/>
              </w:rPr>
            </w:pPr>
            <w:r w:rsidRPr="00FE65C9">
              <w:rPr>
                <w:rFonts w:ascii="Palatino Linotype" w:hAnsi="Palatino Linotype"/>
                <w:b/>
                <w:color w:val="000000"/>
                <w:sz w:val="20"/>
                <w:szCs w:val="20"/>
              </w:rPr>
              <w:t>100 %</w:t>
            </w:r>
          </w:p>
        </w:tc>
      </w:tr>
    </w:tbl>
    <w:p w:rsidR="00FE65C9" w:rsidRPr="00FE65C9" w:rsidRDefault="00FE65C9" w:rsidP="00FE65C9">
      <w:pPr>
        <w:pStyle w:val="NoSpacing"/>
        <w:ind w:firstLine="720"/>
        <w:jc w:val="both"/>
        <w:rPr>
          <w:rFonts w:ascii="Palatino Linotype" w:hAnsi="Palatino Linotype"/>
          <w:sz w:val="20"/>
          <w:szCs w:val="20"/>
          <w:lang w:val="id-ID"/>
        </w:rPr>
      </w:pPr>
    </w:p>
    <w:p w:rsidR="00FE65C9" w:rsidRPr="00FE65C9" w:rsidRDefault="00FE65C9" w:rsidP="008F7EAC">
      <w:pPr>
        <w:pStyle w:val="NoSpacing"/>
        <w:ind w:firstLine="720"/>
        <w:jc w:val="both"/>
        <w:rPr>
          <w:rFonts w:ascii="Palatino Linotype" w:hAnsi="Palatino Linotype"/>
          <w:sz w:val="20"/>
          <w:szCs w:val="20"/>
        </w:rPr>
      </w:pPr>
      <w:r w:rsidRPr="00FE65C9">
        <w:rPr>
          <w:rFonts w:ascii="Palatino Linotype" w:hAnsi="Palatino Linotype"/>
          <w:sz w:val="20"/>
          <w:szCs w:val="20"/>
        </w:rPr>
        <w:t>From table 1 it can be seen that the average community income is at Rp 0 to Rp 2.3 million and it is the city's minimum wage (UMK). From this data it is seen that the society is dependent on minimum wage, and only a small proportion who have income above Rp 8 million which means 2% only.</w:t>
      </w:r>
    </w:p>
    <w:p w:rsidR="00FE65C9" w:rsidRPr="00FE65C9" w:rsidRDefault="00FE65C9" w:rsidP="00FE65C9">
      <w:pPr>
        <w:pStyle w:val="NoSpacing"/>
        <w:jc w:val="center"/>
        <w:rPr>
          <w:rFonts w:ascii="Palatino Linotype" w:hAnsi="Palatino Linotype"/>
          <w:b/>
          <w:color w:val="000000"/>
          <w:sz w:val="20"/>
          <w:szCs w:val="20"/>
        </w:rPr>
      </w:pPr>
      <w:r w:rsidRPr="00FE65C9">
        <w:rPr>
          <w:rFonts w:ascii="Palatino Linotype" w:hAnsi="Palatino Linotype"/>
          <w:b/>
          <w:color w:val="000000"/>
          <w:sz w:val="20"/>
          <w:szCs w:val="20"/>
        </w:rPr>
        <w:t>Tab</w:t>
      </w:r>
      <w:r w:rsidRPr="00FE65C9">
        <w:rPr>
          <w:rFonts w:ascii="Palatino Linotype" w:hAnsi="Palatino Linotype"/>
          <w:b/>
          <w:color w:val="000000"/>
          <w:sz w:val="20"/>
          <w:szCs w:val="20"/>
          <w:lang w:val="id-ID"/>
        </w:rPr>
        <w:t>le</w:t>
      </w:r>
      <w:r w:rsidRPr="00FE65C9">
        <w:rPr>
          <w:rFonts w:ascii="Palatino Linotype" w:hAnsi="Palatino Linotype"/>
          <w:b/>
          <w:color w:val="000000"/>
          <w:sz w:val="20"/>
          <w:szCs w:val="20"/>
        </w:rPr>
        <w:t xml:space="preserve"> 2. Distribution of capacity</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276"/>
        <w:gridCol w:w="1276"/>
      </w:tblGrid>
      <w:tr w:rsidR="00FE65C9" w:rsidRPr="00FE65C9" w:rsidTr="008F7EAC">
        <w:trPr>
          <w:jc w:val="center"/>
        </w:trPr>
        <w:tc>
          <w:tcPr>
            <w:tcW w:w="1701"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 xml:space="preserve">Capacity </w:t>
            </w:r>
          </w:p>
        </w:tc>
        <w:tc>
          <w:tcPr>
            <w:tcW w:w="1276"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Respondents</w:t>
            </w:r>
          </w:p>
        </w:tc>
        <w:tc>
          <w:tcPr>
            <w:tcW w:w="1276"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Persenta</w:t>
            </w:r>
            <w:r w:rsidRPr="00FE65C9">
              <w:rPr>
                <w:rFonts w:ascii="Palatino Linotype" w:hAnsi="Palatino Linotype"/>
                <w:color w:val="000000"/>
                <w:sz w:val="20"/>
                <w:szCs w:val="20"/>
                <w:lang w:val="id-ID"/>
              </w:rPr>
              <w:t>s</w:t>
            </w:r>
            <w:r w:rsidRPr="00FE65C9">
              <w:rPr>
                <w:rFonts w:ascii="Palatino Linotype" w:hAnsi="Palatino Linotype"/>
                <w:color w:val="000000"/>
                <w:sz w:val="20"/>
                <w:szCs w:val="20"/>
              </w:rPr>
              <w:t>e</w:t>
            </w:r>
          </w:p>
        </w:tc>
      </w:tr>
      <w:tr w:rsidR="00FE65C9" w:rsidRPr="00FE65C9" w:rsidTr="008F7EAC">
        <w:trPr>
          <w:jc w:val="center"/>
        </w:trPr>
        <w:tc>
          <w:tcPr>
            <w:tcW w:w="1701"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450 VA</w:t>
            </w:r>
          </w:p>
        </w:tc>
        <w:tc>
          <w:tcPr>
            <w:tcW w:w="1276" w:type="dxa"/>
            <w:shd w:val="clear" w:color="auto" w:fill="auto"/>
          </w:tcPr>
          <w:p w:rsidR="00FE65C9" w:rsidRPr="00FE65C9" w:rsidRDefault="00FE65C9" w:rsidP="00090C65">
            <w:pPr>
              <w:pStyle w:val="NoSpacing"/>
              <w:jc w:val="center"/>
              <w:rPr>
                <w:rFonts w:ascii="Palatino Linotype" w:hAnsi="Palatino Linotype"/>
                <w:color w:val="000000"/>
                <w:sz w:val="20"/>
                <w:szCs w:val="20"/>
              </w:rPr>
            </w:pPr>
            <w:r w:rsidRPr="00FE65C9">
              <w:rPr>
                <w:rFonts w:ascii="Palatino Linotype" w:hAnsi="Palatino Linotype"/>
                <w:color w:val="000000"/>
                <w:sz w:val="20"/>
                <w:szCs w:val="20"/>
              </w:rPr>
              <w:t>9</w:t>
            </w:r>
          </w:p>
        </w:tc>
        <w:tc>
          <w:tcPr>
            <w:tcW w:w="1276" w:type="dxa"/>
            <w:shd w:val="clear" w:color="auto" w:fill="auto"/>
          </w:tcPr>
          <w:p w:rsidR="00FE65C9" w:rsidRPr="00FE65C9" w:rsidRDefault="00FE65C9" w:rsidP="00090C65">
            <w:pPr>
              <w:pStyle w:val="NoSpacing"/>
              <w:jc w:val="center"/>
              <w:rPr>
                <w:rFonts w:ascii="Palatino Linotype" w:hAnsi="Palatino Linotype"/>
                <w:color w:val="000000"/>
                <w:sz w:val="20"/>
                <w:szCs w:val="20"/>
              </w:rPr>
            </w:pPr>
            <w:r w:rsidRPr="00FE65C9">
              <w:rPr>
                <w:rFonts w:ascii="Palatino Linotype" w:hAnsi="Palatino Linotype"/>
                <w:color w:val="000000"/>
                <w:sz w:val="20"/>
                <w:szCs w:val="20"/>
                <w:lang w:val="id-ID"/>
              </w:rPr>
              <w:t>1,5</w:t>
            </w:r>
            <w:r w:rsidRPr="00FE65C9">
              <w:rPr>
                <w:rFonts w:ascii="Palatino Linotype" w:hAnsi="Palatino Linotype"/>
                <w:color w:val="000000"/>
                <w:sz w:val="20"/>
                <w:szCs w:val="20"/>
              </w:rPr>
              <w:t xml:space="preserve"> %</w:t>
            </w:r>
          </w:p>
        </w:tc>
      </w:tr>
      <w:tr w:rsidR="00FE65C9" w:rsidRPr="00FE65C9" w:rsidTr="008F7EAC">
        <w:trPr>
          <w:jc w:val="center"/>
        </w:trPr>
        <w:tc>
          <w:tcPr>
            <w:tcW w:w="1701"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900 VA</w:t>
            </w:r>
          </w:p>
        </w:tc>
        <w:tc>
          <w:tcPr>
            <w:tcW w:w="1276" w:type="dxa"/>
            <w:shd w:val="clear" w:color="auto" w:fill="auto"/>
          </w:tcPr>
          <w:p w:rsidR="00FE65C9" w:rsidRPr="00FE65C9" w:rsidRDefault="00FE65C9" w:rsidP="00090C65">
            <w:pPr>
              <w:pStyle w:val="NoSpacing"/>
              <w:jc w:val="center"/>
              <w:rPr>
                <w:rFonts w:ascii="Palatino Linotype" w:hAnsi="Palatino Linotype"/>
                <w:color w:val="000000"/>
                <w:sz w:val="20"/>
                <w:szCs w:val="20"/>
              </w:rPr>
            </w:pPr>
            <w:r w:rsidRPr="00FE65C9">
              <w:rPr>
                <w:rFonts w:ascii="Palatino Linotype" w:hAnsi="Palatino Linotype"/>
                <w:color w:val="000000"/>
                <w:sz w:val="20"/>
                <w:szCs w:val="20"/>
              </w:rPr>
              <w:t>387</w:t>
            </w:r>
          </w:p>
        </w:tc>
        <w:tc>
          <w:tcPr>
            <w:tcW w:w="1276" w:type="dxa"/>
            <w:shd w:val="clear" w:color="auto" w:fill="auto"/>
          </w:tcPr>
          <w:p w:rsidR="00FE65C9" w:rsidRPr="00FE65C9" w:rsidRDefault="00FE65C9" w:rsidP="00090C65">
            <w:pPr>
              <w:pStyle w:val="NoSpacing"/>
              <w:jc w:val="center"/>
              <w:rPr>
                <w:rFonts w:ascii="Palatino Linotype" w:hAnsi="Palatino Linotype"/>
                <w:color w:val="000000"/>
                <w:sz w:val="20"/>
                <w:szCs w:val="20"/>
              </w:rPr>
            </w:pPr>
            <w:r w:rsidRPr="00FE65C9">
              <w:rPr>
                <w:rFonts w:ascii="Palatino Linotype" w:hAnsi="Palatino Linotype"/>
                <w:color w:val="000000"/>
                <w:sz w:val="20"/>
                <w:szCs w:val="20"/>
              </w:rPr>
              <w:t>68 %</w:t>
            </w:r>
          </w:p>
        </w:tc>
      </w:tr>
      <w:tr w:rsidR="00FE65C9" w:rsidRPr="00FE65C9" w:rsidTr="008F7EAC">
        <w:trPr>
          <w:jc w:val="center"/>
        </w:trPr>
        <w:tc>
          <w:tcPr>
            <w:tcW w:w="1701"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1200 VA</w:t>
            </w:r>
          </w:p>
        </w:tc>
        <w:tc>
          <w:tcPr>
            <w:tcW w:w="1276" w:type="dxa"/>
            <w:shd w:val="clear" w:color="auto" w:fill="auto"/>
          </w:tcPr>
          <w:p w:rsidR="00FE65C9" w:rsidRPr="00FE65C9" w:rsidRDefault="00FE65C9" w:rsidP="00090C65">
            <w:pPr>
              <w:pStyle w:val="NoSpacing"/>
              <w:jc w:val="center"/>
              <w:rPr>
                <w:rFonts w:ascii="Palatino Linotype" w:hAnsi="Palatino Linotype"/>
                <w:color w:val="000000"/>
                <w:sz w:val="20"/>
                <w:szCs w:val="20"/>
              </w:rPr>
            </w:pPr>
            <w:r w:rsidRPr="00FE65C9">
              <w:rPr>
                <w:rFonts w:ascii="Palatino Linotype" w:hAnsi="Palatino Linotype"/>
                <w:color w:val="000000"/>
                <w:sz w:val="20"/>
                <w:szCs w:val="20"/>
              </w:rPr>
              <w:t>162</w:t>
            </w:r>
          </w:p>
        </w:tc>
        <w:tc>
          <w:tcPr>
            <w:tcW w:w="1276" w:type="dxa"/>
            <w:shd w:val="clear" w:color="auto" w:fill="auto"/>
          </w:tcPr>
          <w:p w:rsidR="00FE65C9" w:rsidRPr="00FE65C9" w:rsidRDefault="00FE65C9" w:rsidP="00090C65">
            <w:pPr>
              <w:pStyle w:val="NoSpacing"/>
              <w:jc w:val="center"/>
              <w:rPr>
                <w:rFonts w:ascii="Palatino Linotype" w:hAnsi="Palatino Linotype"/>
                <w:color w:val="000000"/>
                <w:sz w:val="20"/>
                <w:szCs w:val="20"/>
              </w:rPr>
            </w:pPr>
            <w:r w:rsidRPr="00FE65C9">
              <w:rPr>
                <w:rFonts w:ascii="Palatino Linotype" w:hAnsi="Palatino Linotype"/>
                <w:color w:val="000000"/>
                <w:sz w:val="20"/>
                <w:szCs w:val="20"/>
              </w:rPr>
              <w:t>29 %</w:t>
            </w:r>
          </w:p>
        </w:tc>
      </w:tr>
      <w:tr w:rsidR="00FE65C9" w:rsidRPr="00FE65C9" w:rsidTr="008F7EAC">
        <w:trPr>
          <w:jc w:val="center"/>
        </w:trPr>
        <w:tc>
          <w:tcPr>
            <w:tcW w:w="1701"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Above 1200 VA</w:t>
            </w:r>
          </w:p>
        </w:tc>
        <w:tc>
          <w:tcPr>
            <w:tcW w:w="1276" w:type="dxa"/>
            <w:shd w:val="clear" w:color="auto" w:fill="auto"/>
          </w:tcPr>
          <w:p w:rsidR="00FE65C9" w:rsidRPr="00FE65C9" w:rsidRDefault="00FE65C9" w:rsidP="00090C65">
            <w:pPr>
              <w:pStyle w:val="NoSpacing"/>
              <w:jc w:val="center"/>
              <w:rPr>
                <w:rFonts w:ascii="Palatino Linotype" w:hAnsi="Palatino Linotype"/>
                <w:color w:val="000000"/>
                <w:sz w:val="20"/>
                <w:szCs w:val="20"/>
              </w:rPr>
            </w:pPr>
            <w:r w:rsidRPr="00FE65C9">
              <w:rPr>
                <w:rFonts w:ascii="Palatino Linotype" w:hAnsi="Palatino Linotype"/>
                <w:color w:val="000000"/>
                <w:sz w:val="20"/>
                <w:szCs w:val="20"/>
              </w:rPr>
              <w:t>9</w:t>
            </w:r>
          </w:p>
        </w:tc>
        <w:tc>
          <w:tcPr>
            <w:tcW w:w="1276" w:type="dxa"/>
            <w:shd w:val="clear" w:color="auto" w:fill="auto"/>
          </w:tcPr>
          <w:p w:rsidR="00FE65C9" w:rsidRPr="00FE65C9" w:rsidRDefault="00FE65C9" w:rsidP="00090C65">
            <w:pPr>
              <w:pStyle w:val="NoSpacing"/>
              <w:jc w:val="center"/>
              <w:rPr>
                <w:rFonts w:ascii="Palatino Linotype" w:hAnsi="Palatino Linotype"/>
                <w:color w:val="000000"/>
                <w:sz w:val="20"/>
                <w:szCs w:val="20"/>
              </w:rPr>
            </w:pPr>
            <w:r w:rsidRPr="00FE65C9">
              <w:rPr>
                <w:rFonts w:ascii="Palatino Linotype" w:hAnsi="Palatino Linotype"/>
                <w:color w:val="000000"/>
                <w:sz w:val="20"/>
                <w:szCs w:val="20"/>
                <w:lang w:val="id-ID"/>
              </w:rPr>
              <w:t>1,5</w:t>
            </w:r>
            <w:r w:rsidRPr="00FE65C9">
              <w:rPr>
                <w:rFonts w:ascii="Palatino Linotype" w:hAnsi="Palatino Linotype"/>
                <w:color w:val="000000"/>
                <w:sz w:val="20"/>
                <w:szCs w:val="20"/>
              </w:rPr>
              <w:t xml:space="preserve"> %</w:t>
            </w:r>
          </w:p>
        </w:tc>
      </w:tr>
      <w:tr w:rsidR="00FE65C9" w:rsidRPr="00FE65C9" w:rsidTr="008F7EAC">
        <w:trPr>
          <w:jc w:val="center"/>
        </w:trPr>
        <w:tc>
          <w:tcPr>
            <w:tcW w:w="1701"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b/>
                <w:color w:val="000000"/>
                <w:sz w:val="20"/>
                <w:szCs w:val="20"/>
              </w:rPr>
              <w:t>TOTAL</w:t>
            </w:r>
          </w:p>
        </w:tc>
        <w:tc>
          <w:tcPr>
            <w:tcW w:w="1276" w:type="dxa"/>
            <w:shd w:val="clear" w:color="auto" w:fill="auto"/>
          </w:tcPr>
          <w:p w:rsidR="00FE65C9" w:rsidRPr="00FE65C9" w:rsidRDefault="00FE65C9" w:rsidP="00090C65">
            <w:pPr>
              <w:pStyle w:val="NoSpacing"/>
              <w:jc w:val="center"/>
              <w:rPr>
                <w:rFonts w:ascii="Palatino Linotype" w:hAnsi="Palatino Linotype"/>
                <w:b/>
                <w:color w:val="000000"/>
                <w:sz w:val="20"/>
                <w:szCs w:val="20"/>
              </w:rPr>
            </w:pPr>
            <w:r w:rsidRPr="00FE65C9">
              <w:rPr>
                <w:rFonts w:ascii="Palatino Linotype" w:hAnsi="Palatino Linotype"/>
                <w:b/>
                <w:color w:val="000000"/>
                <w:sz w:val="20"/>
                <w:szCs w:val="20"/>
              </w:rPr>
              <w:t>567</w:t>
            </w:r>
          </w:p>
        </w:tc>
        <w:tc>
          <w:tcPr>
            <w:tcW w:w="1276" w:type="dxa"/>
            <w:shd w:val="clear" w:color="auto" w:fill="auto"/>
          </w:tcPr>
          <w:p w:rsidR="00FE65C9" w:rsidRPr="00FE65C9" w:rsidRDefault="00FE65C9" w:rsidP="00090C65">
            <w:pPr>
              <w:pStyle w:val="NoSpacing"/>
              <w:jc w:val="center"/>
              <w:rPr>
                <w:rFonts w:ascii="Palatino Linotype" w:hAnsi="Palatino Linotype"/>
                <w:b/>
                <w:color w:val="000000"/>
                <w:sz w:val="20"/>
                <w:szCs w:val="20"/>
              </w:rPr>
            </w:pPr>
            <w:r w:rsidRPr="00FE65C9">
              <w:rPr>
                <w:rFonts w:ascii="Palatino Linotype" w:hAnsi="Palatino Linotype"/>
                <w:b/>
                <w:color w:val="000000"/>
                <w:sz w:val="20"/>
                <w:szCs w:val="20"/>
              </w:rPr>
              <w:t>100%</w:t>
            </w:r>
          </w:p>
        </w:tc>
      </w:tr>
    </w:tbl>
    <w:p w:rsidR="00FE65C9" w:rsidRPr="00FE65C9" w:rsidRDefault="00FE65C9" w:rsidP="00FE65C9">
      <w:pPr>
        <w:pStyle w:val="NoSpacing"/>
        <w:jc w:val="both"/>
        <w:rPr>
          <w:rFonts w:ascii="Palatino Linotype" w:hAnsi="Palatino Linotype"/>
          <w:sz w:val="20"/>
          <w:szCs w:val="20"/>
        </w:rPr>
      </w:pPr>
    </w:p>
    <w:p w:rsidR="00FE65C9" w:rsidRPr="00FE65C9" w:rsidRDefault="00FE65C9" w:rsidP="00FE65C9">
      <w:pPr>
        <w:pStyle w:val="NoSpacing"/>
        <w:ind w:firstLine="720"/>
        <w:jc w:val="both"/>
        <w:rPr>
          <w:rFonts w:ascii="Palatino Linotype" w:hAnsi="Palatino Linotype"/>
          <w:sz w:val="20"/>
          <w:szCs w:val="20"/>
          <w:lang w:val="id-ID"/>
        </w:rPr>
      </w:pPr>
      <w:r w:rsidRPr="00FE65C9">
        <w:rPr>
          <w:rFonts w:ascii="Palatino Linotype" w:hAnsi="Palatino Linotype"/>
          <w:sz w:val="20"/>
          <w:szCs w:val="20"/>
        </w:rPr>
        <w:t xml:space="preserve">In table 2 views that most household electricity consumption society Pekanbaru on 900 VA capacity as much as 68%, followed by 1200 VA capacity as much as 29%. Only 2% are using electricity above 1200 VA. </w:t>
      </w:r>
    </w:p>
    <w:p w:rsidR="00FE65C9" w:rsidRPr="00FE65C9" w:rsidRDefault="00FE65C9" w:rsidP="00FE65C9">
      <w:pPr>
        <w:pStyle w:val="NoSpacing"/>
        <w:ind w:firstLine="720"/>
        <w:jc w:val="both"/>
        <w:rPr>
          <w:rFonts w:ascii="Palatino Linotype" w:hAnsi="Palatino Linotype"/>
          <w:sz w:val="20"/>
          <w:szCs w:val="20"/>
        </w:rPr>
      </w:pPr>
      <w:r w:rsidRPr="00FE65C9">
        <w:rPr>
          <w:rFonts w:ascii="Palatino Linotype" w:hAnsi="Palatino Linotype"/>
          <w:sz w:val="20"/>
          <w:szCs w:val="20"/>
        </w:rPr>
        <w:t>Electricity use is dominated by housing Type 36 and simple Community House outside housing, but for those who live in houses using electricity on average above 1200 VA needs to trade. While only three houses a scale of priorities the need for television, pemasak rice, a fan or Air Conditioning, engine water pump and lights.</w:t>
      </w:r>
    </w:p>
    <w:p w:rsidR="00FE65C9" w:rsidRPr="00FE65C9" w:rsidRDefault="00FE65C9" w:rsidP="00FE65C9">
      <w:pPr>
        <w:pStyle w:val="NoSpacing"/>
        <w:jc w:val="both"/>
        <w:rPr>
          <w:rFonts w:ascii="Palatino Linotype" w:hAnsi="Palatino Linotype"/>
          <w:color w:val="000000"/>
          <w:sz w:val="20"/>
          <w:szCs w:val="20"/>
        </w:rPr>
      </w:pPr>
    </w:p>
    <w:p w:rsidR="00FE65C9" w:rsidRPr="00FE65C9" w:rsidRDefault="00FE65C9" w:rsidP="00FE65C9">
      <w:pPr>
        <w:pStyle w:val="NoSpacing"/>
        <w:jc w:val="center"/>
        <w:rPr>
          <w:rFonts w:ascii="Palatino Linotype" w:hAnsi="Palatino Linotype"/>
          <w:b/>
          <w:color w:val="000000"/>
          <w:sz w:val="20"/>
          <w:szCs w:val="20"/>
          <w:lang w:val="id-ID"/>
        </w:rPr>
      </w:pPr>
      <w:r w:rsidRPr="00FE65C9">
        <w:rPr>
          <w:rFonts w:ascii="Palatino Linotype" w:hAnsi="Palatino Linotype"/>
          <w:b/>
          <w:color w:val="000000"/>
          <w:sz w:val="20"/>
          <w:szCs w:val="20"/>
        </w:rPr>
        <w:t xml:space="preserve">Table 3. Monthly cost for capacity of </w:t>
      </w:r>
      <w:r w:rsidRPr="00FE65C9">
        <w:rPr>
          <w:rFonts w:ascii="Palatino Linotype" w:hAnsi="Palatino Linotype"/>
          <w:b/>
          <w:color w:val="000000"/>
          <w:sz w:val="20"/>
          <w:szCs w:val="20"/>
          <w:lang w:val="id-ID"/>
        </w:rPr>
        <w:t>450 VA</w:t>
      </w:r>
    </w:p>
    <w:tbl>
      <w:tblPr>
        <w:tblW w:w="4524"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1"/>
        <w:gridCol w:w="967"/>
        <w:gridCol w:w="1080"/>
      </w:tblGrid>
      <w:tr w:rsidR="00FE65C9" w:rsidRPr="00FE65C9" w:rsidTr="00090C65">
        <w:trPr>
          <w:jc w:val="center"/>
        </w:trPr>
        <w:tc>
          <w:tcPr>
            <w:tcW w:w="1116"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Income Rates</w:t>
            </w:r>
          </w:p>
        </w:tc>
        <w:tc>
          <w:tcPr>
            <w:tcW w:w="1239"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Number of Respondents</w:t>
            </w:r>
          </w:p>
        </w:tc>
        <w:tc>
          <w:tcPr>
            <w:tcW w:w="938" w:type="dxa"/>
            <w:shd w:val="clear" w:color="auto" w:fill="auto"/>
          </w:tcPr>
          <w:p w:rsidR="00FE65C9" w:rsidRPr="00FE65C9" w:rsidRDefault="00FE65C9" w:rsidP="00090C65">
            <w:pPr>
              <w:pStyle w:val="NoSpacing"/>
              <w:jc w:val="both"/>
              <w:rPr>
                <w:rFonts w:ascii="Palatino Linotype" w:hAnsi="Palatino Linotype"/>
                <w:color w:val="000000"/>
                <w:sz w:val="20"/>
                <w:szCs w:val="20"/>
                <w:lang w:val="id-ID"/>
              </w:rPr>
            </w:pPr>
            <w:r w:rsidRPr="00FE65C9">
              <w:rPr>
                <w:rFonts w:ascii="Palatino Linotype" w:hAnsi="Palatino Linotype"/>
                <w:color w:val="000000"/>
                <w:sz w:val="20"/>
                <w:szCs w:val="20"/>
              </w:rPr>
              <w:t>Average before the Increase</w:t>
            </w:r>
            <w:r w:rsidRPr="00FE65C9">
              <w:rPr>
                <w:rFonts w:ascii="Palatino Linotype" w:hAnsi="Palatino Linotype"/>
                <w:color w:val="000000"/>
                <w:sz w:val="20"/>
                <w:szCs w:val="20"/>
                <w:lang w:val="id-ID"/>
              </w:rPr>
              <w:t xml:space="preserve"> (Rp)</w:t>
            </w:r>
          </w:p>
        </w:tc>
        <w:tc>
          <w:tcPr>
            <w:tcW w:w="1231" w:type="dxa"/>
            <w:shd w:val="clear" w:color="auto" w:fill="auto"/>
          </w:tcPr>
          <w:p w:rsidR="00FE65C9" w:rsidRPr="00FE65C9" w:rsidRDefault="00FE65C9" w:rsidP="00090C65">
            <w:pPr>
              <w:pStyle w:val="NoSpacing"/>
              <w:jc w:val="both"/>
              <w:rPr>
                <w:rFonts w:ascii="Palatino Linotype" w:hAnsi="Palatino Linotype"/>
                <w:color w:val="000000"/>
                <w:sz w:val="20"/>
                <w:szCs w:val="20"/>
                <w:lang w:val="id-ID"/>
              </w:rPr>
            </w:pPr>
            <w:r w:rsidRPr="00FE65C9">
              <w:rPr>
                <w:rFonts w:ascii="Palatino Linotype" w:hAnsi="Palatino Linotype"/>
                <w:color w:val="000000"/>
                <w:sz w:val="20"/>
                <w:szCs w:val="20"/>
              </w:rPr>
              <w:t>Average after the increase</w:t>
            </w:r>
            <w:r w:rsidRPr="00FE65C9">
              <w:rPr>
                <w:rFonts w:ascii="Palatino Linotype" w:hAnsi="Palatino Linotype"/>
                <w:color w:val="000000"/>
                <w:sz w:val="20"/>
                <w:szCs w:val="20"/>
                <w:lang w:val="id-ID"/>
              </w:rPr>
              <w:t xml:space="preserve"> (Rp)</w:t>
            </w:r>
          </w:p>
        </w:tc>
      </w:tr>
      <w:tr w:rsidR="00FE65C9" w:rsidRPr="00FE65C9" w:rsidTr="00090C65">
        <w:trPr>
          <w:jc w:val="center"/>
        </w:trPr>
        <w:tc>
          <w:tcPr>
            <w:tcW w:w="1116"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Rp 0 – Rp 2.300.000</w:t>
            </w:r>
          </w:p>
        </w:tc>
        <w:tc>
          <w:tcPr>
            <w:tcW w:w="1239" w:type="dxa"/>
            <w:shd w:val="clear" w:color="auto" w:fill="auto"/>
          </w:tcPr>
          <w:p w:rsidR="00FE65C9" w:rsidRPr="00FE65C9" w:rsidRDefault="00FE65C9" w:rsidP="00090C65">
            <w:pPr>
              <w:pStyle w:val="NoSpacing"/>
              <w:jc w:val="center"/>
              <w:rPr>
                <w:rFonts w:ascii="Palatino Linotype" w:hAnsi="Palatino Linotype"/>
                <w:color w:val="000000"/>
                <w:sz w:val="20"/>
                <w:szCs w:val="20"/>
                <w:lang w:val="id-ID"/>
              </w:rPr>
            </w:pPr>
            <w:r w:rsidRPr="00FE65C9">
              <w:rPr>
                <w:rFonts w:ascii="Palatino Linotype" w:hAnsi="Palatino Linotype"/>
                <w:color w:val="000000"/>
                <w:sz w:val="20"/>
                <w:szCs w:val="20"/>
                <w:lang w:val="id-ID"/>
              </w:rPr>
              <w:t>10</w:t>
            </w:r>
          </w:p>
        </w:tc>
        <w:tc>
          <w:tcPr>
            <w:tcW w:w="938"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180.000</w:t>
            </w:r>
          </w:p>
        </w:tc>
        <w:tc>
          <w:tcPr>
            <w:tcW w:w="1231"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230.000</w:t>
            </w:r>
          </w:p>
        </w:tc>
      </w:tr>
      <w:tr w:rsidR="00FE65C9" w:rsidRPr="00FE65C9" w:rsidTr="00090C65">
        <w:trPr>
          <w:jc w:val="center"/>
        </w:trPr>
        <w:tc>
          <w:tcPr>
            <w:tcW w:w="1116"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Rp 2.300.001 s/d Rp 5.000.000</w:t>
            </w:r>
          </w:p>
        </w:tc>
        <w:tc>
          <w:tcPr>
            <w:tcW w:w="1239"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w:t>
            </w:r>
          </w:p>
        </w:tc>
        <w:tc>
          <w:tcPr>
            <w:tcW w:w="938"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w:t>
            </w:r>
          </w:p>
        </w:tc>
        <w:tc>
          <w:tcPr>
            <w:tcW w:w="1231"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w:t>
            </w:r>
          </w:p>
        </w:tc>
      </w:tr>
      <w:tr w:rsidR="00FE65C9" w:rsidRPr="00FE65C9" w:rsidTr="00090C65">
        <w:trPr>
          <w:jc w:val="center"/>
        </w:trPr>
        <w:tc>
          <w:tcPr>
            <w:tcW w:w="1116"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Rp 5.000.0001 s/d Rp 8.000.000</w:t>
            </w:r>
          </w:p>
        </w:tc>
        <w:tc>
          <w:tcPr>
            <w:tcW w:w="1239"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w:t>
            </w:r>
          </w:p>
        </w:tc>
        <w:tc>
          <w:tcPr>
            <w:tcW w:w="938"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w:t>
            </w:r>
          </w:p>
        </w:tc>
        <w:tc>
          <w:tcPr>
            <w:tcW w:w="1231"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w:t>
            </w:r>
          </w:p>
        </w:tc>
      </w:tr>
      <w:tr w:rsidR="00FE65C9" w:rsidRPr="00FE65C9" w:rsidTr="00090C65">
        <w:trPr>
          <w:jc w:val="center"/>
        </w:trPr>
        <w:tc>
          <w:tcPr>
            <w:tcW w:w="1116"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Above Rp 8.000.001</w:t>
            </w:r>
          </w:p>
        </w:tc>
        <w:tc>
          <w:tcPr>
            <w:tcW w:w="1239"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w:t>
            </w:r>
          </w:p>
        </w:tc>
        <w:tc>
          <w:tcPr>
            <w:tcW w:w="938"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w:t>
            </w:r>
          </w:p>
        </w:tc>
        <w:tc>
          <w:tcPr>
            <w:tcW w:w="1231"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w:t>
            </w:r>
          </w:p>
        </w:tc>
      </w:tr>
      <w:tr w:rsidR="00FE65C9" w:rsidRPr="00FE65C9" w:rsidTr="00090C65">
        <w:trPr>
          <w:jc w:val="center"/>
        </w:trPr>
        <w:tc>
          <w:tcPr>
            <w:tcW w:w="1116"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b/>
                <w:color w:val="000000"/>
                <w:sz w:val="20"/>
                <w:szCs w:val="20"/>
              </w:rPr>
              <w:t>TOTAL</w:t>
            </w:r>
          </w:p>
        </w:tc>
        <w:tc>
          <w:tcPr>
            <w:tcW w:w="1239" w:type="dxa"/>
            <w:shd w:val="clear" w:color="auto" w:fill="auto"/>
          </w:tcPr>
          <w:p w:rsidR="00FE65C9" w:rsidRPr="00FE65C9" w:rsidRDefault="00FE65C9" w:rsidP="00090C65">
            <w:pPr>
              <w:pStyle w:val="NoSpacing"/>
              <w:jc w:val="center"/>
              <w:rPr>
                <w:rFonts w:ascii="Palatino Linotype" w:hAnsi="Palatino Linotype"/>
                <w:color w:val="000000"/>
                <w:sz w:val="20"/>
                <w:szCs w:val="20"/>
                <w:lang w:val="id-ID"/>
              </w:rPr>
            </w:pPr>
            <w:r w:rsidRPr="00FE65C9">
              <w:rPr>
                <w:rFonts w:ascii="Palatino Linotype" w:hAnsi="Palatino Linotype"/>
                <w:color w:val="000000"/>
                <w:sz w:val="20"/>
                <w:szCs w:val="20"/>
                <w:lang w:val="id-ID"/>
              </w:rPr>
              <w:t>10</w:t>
            </w:r>
          </w:p>
        </w:tc>
        <w:tc>
          <w:tcPr>
            <w:tcW w:w="938"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180.000</w:t>
            </w:r>
          </w:p>
        </w:tc>
        <w:tc>
          <w:tcPr>
            <w:tcW w:w="1231"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230.000</w:t>
            </w:r>
          </w:p>
        </w:tc>
      </w:tr>
    </w:tbl>
    <w:p w:rsidR="00FE65C9" w:rsidRPr="00FE65C9" w:rsidRDefault="00FE65C9" w:rsidP="00FE65C9">
      <w:pPr>
        <w:pStyle w:val="NoSpacing"/>
        <w:rPr>
          <w:rFonts w:ascii="Palatino Linotype" w:hAnsi="Palatino Linotype"/>
          <w:sz w:val="20"/>
          <w:szCs w:val="20"/>
        </w:rPr>
      </w:pPr>
    </w:p>
    <w:p w:rsidR="00FE65C9" w:rsidRDefault="00FE65C9" w:rsidP="00FE65C9">
      <w:pPr>
        <w:ind w:firstLine="720"/>
        <w:jc w:val="both"/>
        <w:rPr>
          <w:rFonts w:ascii="Palatino Linotype" w:hAnsi="Palatino Linotype"/>
          <w:sz w:val="20"/>
          <w:szCs w:val="20"/>
          <w:lang w:val="en-US"/>
        </w:rPr>
      </w:pPr>
      <w:r w:rsidRPr="00FE65C9">
        <w:rPr>
          <w:rFonts w:ascii="Palatino Linotype" w:hAnsi="Palatino Linotype"/>
          <w:sz w:val="20"/>
          <w:szCs w:val="20"/>
        </w:rPr>
        <w:t>Based on table 3 that the expenses for electricity 450 VA average before the price rise of basic tariff is Rp 180,000, and after the ascension it increase to Rp 230,000. So the increase in expenses for electricity bill is Rp 50,000.</w:t>
      </w:r>
    </w:p>
    <w:p w:rsidR="008F7EAC" w:rsidRDefault="008F7EAC" w:rsidP="00FE65C9">
      <w:pPr>
        <w:ind w:firstLine="720"/>
        <w:jc w:val="both"/>
        <w:rPr>
          <w:rFonts w:ascii="Palatino Linotype" w:hAnsi="Palatino Linotype"/>
          <w:sz w:val="20"/>
          <w:szCs w:val="20"/>
          <w:lang w:val="en-US"/>
        </w:rPr>
      </w:pPr>
    </w:p>
    <w:p w:rsidR="008F7EAC" w:rsidRDefault="008F7EAC" w:rsidP="00FE65C9">
      <w:pPr>
        <w:ind w:firstLine="720"/>
        <w:jc w:val="both"/>
        <w:rPr>
          <w:rFonts w:ascii="Palatino Linotype" w:hAnsi="Palatino Linotype"/>
          <w:sz w:val="20"/>
          <w:szCs w:val="20"/>
          <w:lang w:val="en-US"/>
        </w:rPr>
      </w:pPr>
    </w:p>
    <w:p w:rsidR="008F7EAC" w:rsidRPr="008F7EAC" w:rsidRDefault="008F7EAC" w:rsidP="00FE65C9">
      <w:pPr>
        <w:ind w:firstLine="720"/>
        <w:jc w:val="both"/>
        <w:rPr>
          <w:rFonts w:ascii="Palatino Linotype" w:hAnsi="Palatino Linotype"/>
          <w:sz w:val="20"/>
          <w:szCs w:val="20"/>
          <w:lang w:val="en-US"/>
        </w:rPr>
      </w:pPr>
    </w:p>
    <w:p w:rsidR="00FE65C9" w:rsidRPr="00FE65C9" w:rsidRDefault="00FE65C9" w:rsidP="00FE65C9">
      <w:pPr>
        <w:pStyle w:val="NoSpacing"/>
        <w:jc w:val="center"/>
        <w:rPr>
          <w:rFonts w:ascii="Palatino Linotype" w:hAnsi="Palatino Linotype"/>
          <w:b/>
          <w:color w:val="000000"/>
          <w:sz w:val="20"/>
          <w:szCs w:val="20"/>
        </w:rPr>
      </w:pPr>
      <w:r w:rsidRPr="00FE65C9">
        <w:rPr>
          <w:rFonts w:ascii="Palatino Linotype" w:hAnsi="Palatino Linotype"/>
          <w:b/>
          <w:color w:val="000000"/>
          <w:sz w:val="20"/>
          <w:szCs w:val="20"/>
          <w:lang w:val="id-ID"/>
        </w:rPr>
        <w:lastRenderedPageBreak/>
        <w:t xml:space="preserve">Table 4. </w:t>
      </w:r>
      <w:r w:rsidRPr="00FE65C9">
        <w:rPr>
          <w:rFonts w:ascii="Palatino Linotype" w:hAnsi="Palatino Linotype"/>
          <w:b/>
          <w:color w:val="000000"/>
          <w:sz w:val="20"/>
          <w:szCs w:val="20"/>
        </w:rPr>
        <w:t xml:space="preserve">Monthly cost for capacity of </w:t>
      </w:r>
      <w:r w:rsidRPr="00FE65C9">
        <w:rPr>
          <w:rFonts w:ascii="Palatino Linotype" w:hAnsi="Palatino Linotype"/>
          <w:b/>
          <w:color w:val="000000"/>
          <w:sz w:val="20"/>
          <w:szCs w:val="20"/>
          <w:lang w:val="id-ID"/>
        </w:rPr>
        <w:t>900 VA</w:t>
      </w:r>
    </w:p>
    <w:tbl>
      <w:tblPr>
        <w:tblW w:w="0" w:type="auto"/>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1"/>
        <w:gridCol w:w="967"/>
        <w:gridCol w:w="36"/>
        <w:gridCol w:w="1209"/>
      </w:tblGrid>
      <w:tr w:rsidR="00FE65C9" w:rsidRPr="00FE65C9" w:rsidTr="00090C65">
        <w:trPr>
          <w:trHeight w:val="1145"/>
          <w:jc w:val="center"/>
        </w:trPr>
        <w:tc>
          <w:tcPr>
            <w:tcW w:w="1078"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Income Rates</w:t>
            </w:r>
          </w:p>
        </w:tc>
        <w:tc>
          <w:tcPr>
            <w:tcW w:w="1195"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Number of Respondents</w:t>
            </w:r>
          </w:p>
        </w:tc>
        <w:tc>
          <w:tcPr>
            <w:tcW w:w="826" w:type="dxa"/>
            <w:shd w:val="clear" w:color="auto" w:fill="auto"/>
          </w:tcPr>
          <w:p w:rsidR="00FE65C9" w:rsidRPr="00FE65C9" w:rsidRDefault="00FE65C9" w:rsidP="00090C65">
            <w:pPr>
              <w:pStyle w:val="NoSpacing"/>
              <w:jc w:val="both"/>
              <w:rPr>
                <w:rFonts w:ascii="Palatino Linotype" w:hAnsi="Palatino Linotype"/>
                <w:color w:val="000000"/>
                <w:sz w:val="20"/>
                <w:szCs w:val="20"/>
                <w:lang w:val="id-ID"/>
              </w:rPr>
            </w:pPr>
            <w:r w:rsidRPr="00FE65C9">
              <w:rPr>
                <w:rFonts w:ascii="Palatino Linotype" w:hAnsi="Palatino Linotype"/>
                <w:color w:val="000000"/>
                <w:sz w:val="20"/>
                <w:szCs w:val="20"/>
              </w:rPr>
              <w:t>Average before the Increase</w:t>
            </w:r>
            <w:r w:rsidRPr="00FE65C9">
              <w:rPr>
                <w:rFonts w:ascii="Palatino Linotype" w:hAnsi="Palatino Linotype"/>
                <w:color w:val="000000"/>
                <w:sz w:val="20"/>
                <w:szCs w:val="20"/>
                <w:lang w:val="id-ID"/>
              </w:rPr>
              <w:t xml:space="preserve"> (Rp)</w:t>
            </w:r>
          </w:p>
        </w:tc>
        <w:tc>
          <w:tcPr>
            <w:tcW w:w="1245" w:type="dxa"/>
            <w:gridSpan w:val="2"/>
            <w:shd w:val="clear" w:color="auto" w:fill="auto"/>
          </w:tcPr>
          <w:p w:rsidR="00FE65C9" w:rsidRPr="00FE65C9" w:rsidRDefault="00FE65C9" w:rsidP="00090C65">
            <w:pPr>
              <w:pStyle w:val="NoSpacing"/>
              <w:jc w:val="both"/>
              <w:rPr>
                <w:rFonts w:ascii="Palatino Linotype" w:hAnsi="Palatino Linotype"/>
                <w:color w:val="000000"/>
                <w:sz w:val="20"/>
                <w:szCs w:val="20"/>
                <w:lang w:val="id-ID"/>
              </w:rPr>
            </w:pPr>
            <w:r w:rsidRPr="00FE65C9">
              <w:rPr>
                <w:rFonts w:ascii="Palatino Linotype" w:hAnsi="Palatino Linotype"/>
                <w:color w:val="000000"/>
                <w:sz w:val="20"/>
                <w:szCs w:val="20"/>
              </w:rPr>
              <w:t>Average after the increase</w:t>
            </w:r>
            <w:r w:rsidRPr="00FE65C9">
              <w:rPr>
                <w:rFonts w:ascii="Palatino Linotype" w:hAnsi="Palatino Linotype"/>
                <w:color w:val="000000"/>
                <w:sz w:val="20"/>
                <w:szCs w:val="20"/>
                <w:lang w:val="id-ID"/>
              </w:rPr>
              <w:t xml:space="preserve"> (Rp)</w:t>
            </w:r>
          </w:p>
        </w:tc>
      </w:tr>
      <w:tr w:rsidR="00FE65C9" w:rsidRPr="00FE65C9" w:rsidTr="00090C65">
        <w:trPr>
          <w:trHeight w:val="384"/>
          <w:jc w:val="center"/>
        </w:trPr>
        <w:tc>
          <w:tcPr>
            <w:tcW w:w="1078"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Rp 0 – Rp 2.300.000</w:t>
            </w:r>
          </w:p>
        </w:tc>
        <w:tc>
          <w:tcPr>
            <w:tcW w:w="1195" w:type="dxa"/>
            <w:shd w:val="clear" w:color="auto" w:fill="auto"/>
          </w:tcPr>
          <w:p w:rsidR="00FE65C9" w:rsidRPr="00FE65C9" w:rsidRDefault="00FE65C9" w:rsidP="00090C65">
            <w:pPr>
              <w:pStyle w:val="NoSpacing"/>
              <w:jc w:val="center"/>
              <w:rPr>
                <w:rFonts w:ascii="Palatino Linotype" w:hAnsi="Palatino Linotype"/>
                <w:color w:val="000000"/>
                <w:sz w:val="20"/>
                <w:szCs w:val="20"/>
                <w:lang w:val="id-ID"/>
              </w:rPr>
            </w:pPr>
            <w:r w:rsidRPr="00FE65C9">
              <w:rPr>
                <w:rFonts w:ascii="Palatino Linotype" w:hAnsi="Palatino Linotype"/>
                <w:color w:val="000000"/>
                <w:sz w:val="20"/>
                <w:szCs w:val="20"/>
                <w:lang w:val="id-ID"/>
              </w:rPr>
              <w:t>305</w:t>
            </w:r>
          </w:p>
        </w:tc>
        <w:tc>
          <w:tcPr>
            <w:tcW w:w="862" w:type="dxa"/>
            <w:gridSpan w:val="2"/>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155.000</w:t>
            </w:r>
          </w:p>
        </w:tc>
        <w:tc>
          <w:tcPr>
            <w:tcW w:w="1209"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300.000</w:t>
            </w:r>
          </w:p>
        </w:tc>
      </w:tr>
      <w:tr w:rsidR="00FE65C9" w:rsidRPr="00FE65C9" w:rsidTr="00090C65">
        <w:trPr>
          <w:trHeight w:val="769"/>
          <w:jc w:val="center"/>
        </w:trPr>
        <w:tc>
          <w:tcPr>
            <w:tcW w:w="1078"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Rp 2.300.001 s/d Rp 5.000.000</w:t>
            </w:r>
          </w:p>
        </w:tc>
        <w:tc>
          <w:tcPr>
            <w:tcW w:w="1195" w:type="dxa"/>
            <w:shd w:val="clear" w:color="auto" w:fill="auto"/>
          </w:tcPr>
          <w:p w:rsidR="00FE65C9" w:rsidRPr="00FE65C9" w:rsidRDefault="00FE65C9" w:rsidP="00090C65">
            <w:pPr>
              <w:pStyle w:val="NoSpacing"/>
              <w:jc w:val="center"/>
              <w:rPr>
                <w:rFonts w:ascii="Palatino Linotype" w:hAnsi="Palatino Linotype"/>
                <w:color w:val="000000"/>
                <w:sz w:val="20"/>
                <w:szCs w:val="20"/>
                <w:lang w:val="id-ID"/>
              </w:rPr>
            </w:pPr>
            <w:r w:rsidRPr="00FE65C9">
              <w:rPr>
                <w:rFonts w:ascii="Palatino Linotype" w:hAnsi="Palatino Linotype"/>
                <w:color w:val="000000"/>
                <w:sz w:val="20"/>
                <w:szCs w:val="20"/>
                <w:lang w:val="id-ID"/>
              </w:rPr>
              <w:t>150</w:t>
            </w:r>
          </w:p>
        </w:tc>
        <w:tc>
          <w:tcPr>
            <w:tcW w:w="862" w:type="dxa"/>
            <w:gridSpan w:val="2"/>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200.000</w:t>
            </w:r>
          </w:p>
        </w:tc>
        <w:tc>
          <w:tcPr>
            <w:tcW w:w="1209"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350.000</w:t>
            </w:r>
          </w:p>
        </w:tc>
      </w:tr>
      <w:tr w:rsidR="00FE65C9" w:rsidRPr="00FE65C9" w:rsidTr="00090C65">
        <w:trPr>
          <w:trHeight w:val="769"/>
          <w:jc w:val="center"/>
        </w:trPr>
        <w:tc>
          <w:tcPr>
            <w:tcW w:w="1078"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Rp 5.000.0001 s/d Rp 8.000.000</w:t>
            </w:r>
          </w:p>
        </w:tc>
        <w:tc>
          <w:tcPr>
            <w:tcW w:w="1195" w:type="dxa"/>
            <w:shd w:val="clear" w:color="auto" w:fill="auto"/>
          </w:tcPr>
          <w:p w:rsidR="00FE65C9" w:rsidRPr="00FE65C9" w:rsidRDefault="00FE65C9" w:rsidP="00090C65">
            <w:pPr>
              <w:pStyle w:val="NoSpacing"/>
              <w:jc w:val="center"/>
              <w:rPr>
                <w:rFonts w:ascii="Palatino Linotype" w:hAnsi="Palatino Linotype"/>
                <w:color w:val="000000"/>
                <w:sz w:val="20"/>
                <w:szCs w:val="20"/>
                <w:lang w:val="id-ID"/>
              </w:rPr>
            </w:pPr>
            <w:r w:rsidRPr="00FE65C9">
              <w:rPr>
                <w:rFonts w:ascii="Palatino Linotype" w:hAnsi="Palatino Linotype"/>
                <w:color w:val="000000"/>
                <w:sz w:val="20"/>
                <w:szCs w:val="20"/>
                <w:lang w:val="id-ID"/>
              </w:rPr>
              <w:t>42</w:t>
            </w:r>
          </w:p>
        </w:tc>
        <w:tc>
          <w:tcPr>
            <w:tcW w:w="862" w:type="dxa"/>
            <w:gridSpan w:val="2"/>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250.000</w:t>
            </w:r>
          </w:p>
        </w:tc>
        <w:tc>
          <w:tcPr>
            <w:tcW w:w="1209"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400.000</w:t>
            </w:r>
          </w:p>
        </w:tc>
      </w:tr>
      <w:tr w:rsidR="00FE65C9" w:rsidRPr="00FE65C9" w:rsidTr="00090C65">
        <w:trPr>
          <w:trHeight w:val="384"/>
          <w:jc w:val="center"/>
        </w:trPr>
        <w:tc>
          <w:tcPr>
            <w:tcW w:w="1078"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Above Rp 8.000.001</w:t>
            </w:r>
          </w:p>
        </w:tc>
        <w:tc>
          <w:tcPr>
            <w:tcW w:w="1195" w:type="dxa"/>
            <w:shd w:val="clear" w:color="auto" w:fill="auto"/>
          </w:tcPr>
          <w:p w:rsidR="00FE65C9" w:rsidRPr="00FE65C9" w:rsidRDefault="00FE65C9" w:rsidP="00090C65">
            <w:pPr>
              <w:pStyle w:val="NoSpacing"/>
              <w:jc w:val="center"/>
              <w:rPr>
                <w:rFonts w:ascii="Palatino Linotype" w:hAnsi="Palatino Linotype"/>
                <w:color w:val="000000"/>
                <w:sz w:val="20"/>
                <w:szCs w:val="20"/>
                <w:lang w:val="id-ID"/>
              </w:rPr>
            </w:pPr>
            <w:r w:rsidRPr="00FE65C9">
              <w:rPr>
                <w:rFonts w:ascii="Palatino Linotype" w:hAnsi="Palatino Linotype"/>
                <w:color w:val="000000"/>
                <w:sz w:val="20"/>
                <w:szCs w:val="20"/>
                <w:lang w:val="id-ID"/>
              </w:rPr>
              <w:t>8</w:t>
            </w:r>
          </w:p>
        </w:tc>
        <w:tc>
          <w:tcPr>
            <w:tcW w:w="862" w:type="dxa"/>
            <w:gridSpan w:val="2"/>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300.000</w:t>
            </w:r>
          </w:p>
        </w:tc>
        <w:tc>
          <w:tcPr>
            <w:tcW w:w="1209"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500.000</w:t>
            </w:r>
          </w:p>
        </w:tc>
      </w:tr>
      <w:tr w:rsidR="00FE65C9" w:rsidRPr="00FE65C9" w:rsidTr="00090C65">
        <w:trPr>
          <w:trHeight w:val="200"/>
          <w:jc w:val="center"/>
        </w:trPr>
        <w:tc>
          <w:tcPr>
            <w:tcW w:w="1078"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b/>
                <w:color w:val="000000"/>
                <w:sz w:val="20"/>
                <w:szCs w:val="20"/>
              </w:rPr>
              <w:t>TOTAL</w:t>
            </w:r>
          </w:p>
        </w:tc>
        <w:tc>
          <w:tcPr>
            <w:tcW w:w="1195" w:type="dxa"/>
            <w:shd w:val="clear" w:color="auto" w:fill="auto"/>
          </w:tcPr>
          <w:p w:rsidR="00FE65C9" w:rsidRPr="00FE65C9" w:rsidRDefault="00FE65C9" w:rsidP="00090C65">
            <w:pPr>
              <w:pStyle w:val="NoSpacing"/>
              <w:jc w:val="center"/>
              <w:rPr>
                <w:rFonts w:ascii="Palatino Linotype" w:hAnsi="Palatino Linotype"/>
                <w:color w:val="000000"/>
                <w:sz w:val="20"/>
                <w:szCs w:val="20"/>
                <w:lang w:val="id-ID"/>
              </w:rPr>
            </w:pPr>
            <w:r w:rsidRPr="00FE65C9">
              <w:rPr>
                <w:rFonts w:ascii="Palatino Linotype" w:hAnsi="Palatino Linotype"/>
                <w:color w:val="000000"/>
                <w:sz w:val="20"/>
                <w:szCs w:val="20"/>
                <w:lang w:val="id-ID"/>
              </w:rPr>
              <w:t>505</w:t>
            </w:r>
          </w:p>
        </w:tc>
        <w:tc>
          <w:tcPr>
            <w:tcW w:w="862" w:type="dxa"/>
            <w:gridSpan w:val="2"/>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227.000</w:t>
            </w:r>
          </w:p>
        </w:tc>
        <w:tc>
          <w:tcPr>
            <w:tcW w:w="1209"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387.000</w:t>
            </w:r>
          </w:p>
        </w:tc>
      </w:tr>
    </w:tbl>
    <w:p w:rsidR="00FE65C9" w:rsidRPr="00FE65C9" w:rsidRDefault="00FE65C9" w:rsidP="00FE65C9">
      <w:pPr>
        <w:pStyle w:val="NoSpacing"/>
        <w:rPr>
          <w:rFonts w:ascii="Palatino Linotype" w:hAnsi="Palatino Linotype"/>
          <w:sz w:val="20"/>
          <w:szCs w:val="20"/>
        </w:rPr>
      </w:pPr>
    </w:p>
    <w:p w:rsidR="00FE65C9" w:rsidRPr="00FE65C9" w:rsidRDefault="00FE65C9" w:rsidP="00FE65C9">
      <w:pPr>
        <w:ind w:firstLine="720"/>
        <w:jc w:val="both"/>
        <w:rPr>
          <w:rFonts w:ascii="Palatino Linotype" w:hAnsi="Palatino Linotype"/>
          <w:sz w:val="20"/>
          <w:szCs w:val="20"/>
        </w:rPr>
      </w:pPr>
      <w:r w:rsidRPr="00FE65C9">
        <w:rPr>
          <w:rFonts w:ascii="Palatino Linotype" w:hAnsi="Palatino Linotype"/>
          <w:sz w:val="20"/>
          <w:szCs w:val="20"/>
        </w:rPr>
        <w:t>Table 4 shows household electricity bill with the capacity of  900 VA before rising Rp 227,000 and after the rise of price IDR 387,000. So the average increase reaches to Rp 160,000 after rise.</w:t>
      </w:r>
    </w:p>
    <w:p w:rsidR="00FE65C9" w:rsidRPr="00FE65C9" w:rsidRDefault="00FE65C9" w:rsidP="00FE65C9">
      <w:pPr>
        <w:pStyle w:val="NoSpacing"/>
        <w:jc w:val="center"/>
        <w:rPr>
          <w:rFonts w:ascii="Palatino Linotype" w:hAnsi="Palatino Linotype"/>
          <w:b/>
          <w:color w:val="000000"/>
          <w:sz w:val="20"/>
          <w:szCs w:val="20"/>
        </w:rPr>
      </w:pPr>
      <w:r w:rsidRPr="00FE65C9">
        <w:rPr>
          <w:rFonts w:ascii="Palatino Linotype" w:hAnsi="Palatino Linotype"/>
          <w:b/>
          <w:color w:val="000000"/>
          <w:sz w:val="20"/>
          <w:szCs w:val="20"/>
          <w:lang w:val="id-ID"/>
        </w:rPr>
        <w:t xml:space="preserve">Table 5. </w:t>
      </w:r>
      <w:r w:rsidRPr="00FE65C9">
        <w:rPr>
          <w:rFonts w:ascii="Palatino Linotype" w:hAnsi="Palatino Linotype"/>
          <w:b/>
          <w:color w:val="000000"/>
          <w:sz w:val="20"/>
          <w:szCs w:val="20"/>
        </w:rPr>
        <w:t>Monthly cost for capacity of 1200</w:t>
      </w:r>
      <w:r w:rsidRPr="00FE65C9">
        <w:rPr>
          <w:rFonts w:ascii="Palatino Linotype" w:hAnsi="Palatino Linotype"/>
          <w:b/>
          <w:color w:val="000000"/>
          <w:sz w:val="20"/>
          <w:szCs w:val="20"/>
          <w:lang w:val="id-ID"/>
        </w:rPr>
        <w:t xml:space="preserve"> VA</w:t>
      </w:r>
    </w:p>
    <w:tbl>
      <w:tblPr>
        <w:tblW w:w="4214"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1"/>
        <w:gridCol w:w="967"/>
        <w:gridCol w:w="1016"/>
      </w:tblGrid>
      <w:tr w:rsidR="00FE65C9" w:rsidRPr="00FE65C9" w:rsidTr="00090C65">
        <w:trPr>
          <w:jc w:val="center"/>
        </w:trPr>
        <w:tc>
          <w:tcPr>
            <w:tcW w:w="1116" w:type="dxa"/>
            <w:shd w:val="clear" w:color="auto" w:fill="auto"/>
          </w:tcPr>
          <w:p w:rsidR="00FE65C9" w:rsidRPr="00FE65C9" w:rsidRDefault="00FE65C9" w:rsidP="00090C65">
            <w:pPr>
              <w:pStyle w:val="NoSpacing"/>
              <w:jc w:val="both"/>
              <w:rPr>
                <w:rFonts w:ascii="Palatino Linotype" w:hAnsi="Palatino Linotype"/>
                <w:color w:val="000000"/>
                <w:sz w:val="20"/>
                <w:szCs w:val="20"/>
                <w:lang w:val="id-ID"/>
              </w:rPr>
            </w:pPr>
            <w:r w:rsidRPr="00FE65C9">
              <w:rPr>
                <w:rFonts w:ascii="Palatino Linotype" w:hAnsi="Palatino Linotype"/>
                <w:color w:val="000000"/>
                <w:sz w:val="20"/>
                <w:szCs w:val="20"/>
              </w:rPr>
              <w:t>Income Rates</w:t>
            </w:r>
          </w:p>
        </w:tc>
        <w:tc>
          <w:tcPr>
            <w:tcW w:w="1216" w:type="dxa"/>
            <w:shd w:val="clear" w:color="auto" w:fill="auto"/>
          </w:tcPr>
          <w:p w:rsidR="00FE65C9" w:rsidRPr="00FE65C9" w:rsidRDefault="00FE65C9" w:rsidP="00090C65">
            <w:pPr>
              <w:pStyle w:val="NoSpacing"/>
              <w:jc w:val="both"/>
              <w:rPr>
                <w:rFonts w:ascii="Palatino Linotype" w:hAnsi="Palatino Linotype"/>
                <w:color w:val="000000"/>
                <w:sz w:val="20"/>
                <w:szCs w:val="20"/>
                <w:lang w:val="id-ID"/>
              </w:rPr>
            </w:pPr>
            <w:r w:rsidRPr="00FE65C9">
              <w:rPr>
                <w:rFonts w:ascii="Palatino Linotype" w:hAnsi="Palatino Linotype"/>
                <w:color w:val="000000"/>
                <w:sz w:val="20"/>
                <w:szCs w:val="20"/>
              </w:rPr>
              <w:t>Number of Respondents</w:t>
            </w:r>
          </w:p>
        </w:tc>
        <w:tc>
          <w:tcPr>
            <w:tcW w:w="866" w:type="dxa"/>
            <w:shd w:val="clear" w:color="auto" w:fill="auto"/>
          </w:tcPr>
          <w:p w:rsidR="00FE65C9" w:rsidRPr="00FE65C9" w:rsidRDefault="00FE65C9" w:rsidP="00090C65">
            <w:pPr>
              <w:pStyle w:val="NoSpacing"/>
              <w:jc w:val="both"/>
              <w:rPr>
                <w:rFonts w:ascii="Palatino Linotype" w:hAnsi="Palatino Linotype"/>
                <w:color w:val="000000"/>
                <w:sz w:val="20"/>
                <w:szCs w:val="20"/>
                <w:lang w:val="id-ID"/>
              </w:rPr>
            </w:pPr>
            <w:r w:rsidRPr="00FE65C9">
              <w:rPr>
                <w:rFonts w:ascii="Palatino Linotype" w:hAnsi="Palatino Linotype"/>
                <w:color w:val="000000"/>
                <w:sz w:val="20"/>
                <w:szCs w:val="20"/>
              </w:rPr>
              <w:t>Average before the Increase</w:t>
            </w:r>
            <w:r w:rsidRPr="00FE65C9">
              <w:rPr>
                <w:rFonts w:ascii="Palatino Linotype" w:hAnsi="Palatino Linotype"/>
                <w:color w:val="000000"/>
                <w:sz w:val="20"/>
                <w:szCs w:val="20"/>
                <w:lang w:val="id-ID"/>
              </w:rPr>
              <w:t xml:space="preserve"> (Rp))</w:t>
            </w:r>
          </w:p>
        </w:tc>
        <w:tc>
          <w:tcPr>
            <w:tcW w:w="1016" w:type="dxa"/>
            <w:shd w:val="clear" w:color="auto" w:fill="auto"/>
          </w:tcPr>
          <w:p w:rsidR="00FE65C9" w:rsidRPr="00FE65C9" w:rsidRDefault="00FE65C9" w:rsidP="00090C65">
            <w:pPr>
              <w:pStyle w:val="NoSpacing"/>
              <w:jc w:val="both"/>
              <w:rPr>
                <w:rFonts w:ascii="Palatino Linotype" w:hAnsi="Palatino Linotype"/>
                <w:color w:val="000000"/>
                <w:sz w:val="20"/>
                <w:szCs w:val="20"/>
                <w:lang w:val="id-ID"/>
              </w:rPr>
            </w:pPr>
            <w:r w:rsidRPr="00FE65C9">
              <w:rPr>
                <w:rFonts w:ascii="Palatino Linotype" w:hAnsi="Palatino Linotype"/>
                <w:color w:val="000000"/>
                <w:sz w:val="20"/>
                <w:szCs w:val="20"/>
              </w:rPr>
              <w:t>Average after the increase</w:t>
            </w:r>
            <w:r w:rsidRPr="00FE65C9">
              <w:rPr>
                <w:rFonts w:ascii="Palatino Linotype" w:hAnsi="Palatino Linotype"/>
                <w:color w:val="000000"/>
                <w:sz w:val="20"/>
                <w:szCs w:val="20"/>
                <w:lang w:val="id-ID"/>
              </w:rPr>
              <w:t xml:space="preserve"> (Rp)</w:t>
            </w:r>
          </w:p>
        </w:tc>
      </w:tr>
      <w:tr w:rsidR="00FE65C9" w:rsidRPr="00FE65C9" w:rsidTr="00090C65">
        <w:trPr>
          <w:jc w:val="center"/>
        </w:trPr>
        <w:tc>
          <w:tcPr>
            <w:tcW w:w="1116"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Rp 0 – Rp 2.300.000</w:t>
            </w:r>
          </w:p>
        </w:tc>
        <w:tc>
          <w:tcPr>
            <w:tcW w:w="1216"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w:t>
            </w:r>
          </w:p>
        </w:tc>
        <w:tc>
          <w:tcPr>
            <w:tcW w:w="866"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w:t>
            </w:r>
          </w:p>
        </w:tc>
        <w:tc>
          <w:tcPr>
            <w:tcW w:w="1016"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w:t>
            </w:r>
          </w:p>
        </w:tc>
      </w:tr>
      <w:tr w:rsidR="00FE65C9" w:rsidRPr="00FE65C9" w:rsidTr="00090C65">
        <w:trPr>
          <w:jc w:val="center"/>
        </w:trPr>
        <w:tc>
          <w:tcPr>
            <w:tcW w:w="1116"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Rp 2.300.001 s/d Rp 5.000.000</w:t>
            </w:r>
          </w:p>
        </w:tc>
        <w:tc>
          <w:tcPr>
            <w:tcW w:w="1216" w:type="dxa"/>
            <w:shd w:val="clear" w:color="auto" w:fill="auto"/>
          </w:tcPr>
          <w:p w:rsidR="00FE65C9" w:rsidRPr="00FE65C9" w:rsidRDefault="00FE65C9" w:rsidP="00090C65">
            <w:pPr>
              <w:pStyle w:val="NoSpacing"/>
              <w:jc w:val="center"/>
              <w:rPr>
                <w:rFonts w:ascii="Palatino Linotype" w:hAnsi="Palatino Linotype"/>
                <w:color w:val="000000"/>
                <w:sz w:val="20"/>
                <w:szCs w:val="20"/>
                <w:lang w:val="id-ID"/>
              </w:rPr>
            </w:pPr>
            <w:r w:rsidRPr="00FE65C9">
              <w:rPr>
                <w:rFonts w:ascii="Palatino Linotype" w:hAnsi="Palatino Linotype"/>
                <w:color w:val="000000"/>
                <w:sz w:val="20"/>
                <w:szCs w:val="20"/>
                <w:lang w:val="id-ID"/>
              </w:rPr>
              <w:t>37</w:t>
            </w:r>
          </w:p>
        </w:tc>
        <w:tc>
          <w:tcPr>
            <w:tcW w:w="866"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250.000</w:t>
            </w:r>
          </w:p>
        </w:tc>
        <w:tc>
          <w:tcPr>
            <w:tcW w:w="1016"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450.000</w:t>
            </w:r>
          </w:p>
        </w:tc>
      </w:tr>
      <w:tr w:rsidR="00FE65C9" w:rsidRPr="00FE65C9" w:rsidTr="00090C65">
        <w:trPr>
          <w:jc w:val="center"/>
        </w:trPr>
        <w:tc>
          <w:tcPr>
            <w:tcW w:w="1116"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Rp 5.000.0001 s/d Rp 8.000.000</w:t>
            </w:r>
          </w:p>
        </w:tc>
        <w:tc>
          <w:tcPr>
            <w:tcW w:w="1216" w:type="dxa"/>
            <w:shd w:val="clear" w:color="auto" w:fill="auto"/>
          </w:tcPr>
          <w:p w:rsidR="00FE65C9" w:rsidRPr="00FE65C9" w:rsidRDefault="00FE65C9" w:rsidP="00090C65">
            <w:pPr>
              <w:pStyle w:val="NoSpacing"/>
              <w:jc w:val="center"/>
              <w:rPr>
                <w:rFonts w:ascii="Palatino Linotype" w:hAnsi="Palatino Linotype"/>
                <w:color w:val="000000"/>
                <w:sz w:val="20"/>
                <w:szCs w:val="20"/>
                <w:lang w:val="id-ID"/>
              </w:rPr>
            </w:pPr>
            <w:r w:rsidRPr="00FE65C9">
              <w:rPr>
                <w:rFonts w:ascii="Palatino Linotype" w:hAnsi="Palatino Linotype"/>
                <w:color w:val="000000"/>
                <w:sz w:val="20"/>
                <w:szCs w:val="20"/>
                <w:lang w:val="id-ID"/>
              </w:rPr>
              <w:t>7</w:t>
            </w:r>
          </w:p>
        </w:tc>
        <w:tc>
          <w:tcPr>
            <w:tcW w:w="866"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750.000</w:t>
            </w:r>
          </w:p>
        </w:tc>
        <w:tc>
          <w:tcPr>
            <w:tcW w:w="1016"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800.000</w:t>
            </w:r>
          </w:p>
        </w:tc>
      </w:tr>
      <w:tr w:rsidR="00FE65C9" w:rsidRPr="00FE65C9" w:rsidTr="00090C65">
        <w:trPr>
          <w:jc w:val="center"/>
        </w:trPr>
        <w:tc>
          <w:tcPr>
            <w:tcW w:w="1116"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Above Rp 8.000.001</w:t>
            </w:r>
          </w:p>
        </w:tc>
        <w:tc>
          <w:tcPr>
            <w:tcW w:w="1216" w:type="dxa"/>
            <w:shd w:val="clear" w:color="auto" w:fill="auto"/>
          </w:tcPr>
          <w:p w:rsidR="00FE65C9" w:rsidRPr="00FE65C9" w:rsidRDefault="00FE65C9" w:rsidP="00090C65">
            <w:pPr>
              <w:pStyle w:val="NoSpacing"/>
              <w:jc w:val="center"/>
              <w:rPr>
                <w:rFonts w:ascii="Palatino Linotype" w:hAnsi="Palatino Linotype"/>
                <w:color w:val="000000"/>
                <w:sz w:val="20"/>
                <w:szCs w:val="20"/>
                <w:lang w:val="id-ID"/>
              </w:rPr>
            </w:pPr>
            <w:r w:rsidRPr="00FE65C9">
              <w:rPr>
                <w:rFonts w:ascii="Palatino Linotype" w:hAnsi="Palatino Linotype"/>
                <w:color w:val="000000"/>
                <w:sz w:val="20"/>
                <w:szCs w:val="20"/>
                <w:lang w:val="id-ID"/>
              </w:rPr>
              <w:t>2</w:t>
            </w:r>
          </w:p>
        </w:tc>
        <w:tc>
          <w:tcPr>
            <w:tcW w:w="866"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800.000</w:t>
            </w:r>
          </w:p>
        </w:tc>
        <w:tc>
          <w:tcPr>
            <w:tcW w:w="1016"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1.000.000</w:t>
            </w:r>
          </w:p>
        </w:tc>
      </w:tr>
      <w:tr w:rsidR="00FE65C9" w:rsidRPr="00FE65C9" w:rsidTr="00090C65">
        <w:trPr>
          <w:jc w:val="center"/>
        </w:trPr>
        <w:tc>
          <w:tcPr>
            <w:tcW w:w="1116"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b/>
                <w:color w:val="000000"/>
                <w:sz w:val="20"/>
                <w:szCs w:val="20"/>
              </w:rPr>
              <w:t>TOTAL</w:t>
            </w:r>
          </w:p>
        </w:tc>
        <w:tc>
          <w:tcPr>
            <w:tcW w:w="1216" w:type="dxa"/>
            <w:shd w:val="clear" w:color="auto" w:fill="auto"/>
          </w:tcPr>
          <w:p w:rsidR="00FE65C9" w:rsidRPr="00FE65C9" w:rsidRDefault="00FE65C9" w:rsidP="00090C65">
            <w:pPr>
              <w:pStyle w:val="NoSpacing"/>
              <w:jc w:val="center"/>
              <w:rPr>
                <w:rFonts w:ascii="Palatino Linotype" w:hAnsi="Palatino Linotype"/>
                <w:color w:val="000000"/>
                <w:sz w:val="20"/>
                <w:szCs w:val="20"/>
                <w:lang w:val="id-ID"/>
              </w:rPr>
            </w:pPr>
            <w:r w:rsidRPr="00FE65C9">
              <w:rPr>
                <w:rFonts w:ascii="Palatino Linotype" w:hAnsi="Palatino Linotype"/>
                <w:color w:val="000000"/>
                <w:sz w:val="20"/>
                <w:szCs w:val="20"/>
                <w:lang w:val="id-ID"/>
              </w:rPr>
              <w:t>46</w:t>
            </w:r>
          </w:p>
        </w:tc>
        <w:tc>
          <w:tcPr>
            <w:tcW w:w="866"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600.000</w:t>
            </w:r>
          </w:p>
        </w:tc>
        <w:tc>
          <w:tcPr>
            <w:tcW w:w="1016"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750.000</w:t>
            </w:r>
          </w:p>
        </w:tc>
      </w:tr>
    </w:tbl>
    <w:p w:rsidR="00FE65C9" w:rsidRPr="00FE65C9" w:rsidRDefault="00FE65C9" w:rsidP="00FE65C9">
      <w:pPr>
        <w:pStyle w:val="NoSpacing"/>
        <w:rPr>
          <w:rFonts w:ascii="Palatino Linotype" w:hAnsi="Palatino Linotype"/>
          <w:sz w:val="20"/>
          <w:szCs w:val="20"/>
        </w:rPr>
      </w:pPr>
    </w:p>
    <w:p w:rsidR="00FE65C9" w:rsidRDefault="00FE65C9" w:rsidP="00FE65C9">
      <w:pPr>
        <w:ind w:firstLine="720"/>
        <w:jc w:val="both"/>
        <w:rPr>
          <w:rFonts w:ascii="Palatino Linotype" w:hAnsi="Palatino Linotype"/>
          <w:sz w:val="20"/>
          <w:szCs w:val="20"/>
          <w:lang w:val="en-US"/>
        </w:rPr>
      </w:pPr>
      <w:r w:rsidRPr="00FE65C9">
        <w:rPr>
          <w:rFonts w:ascii="Palatino Linotype" w:hAnsi="Palatino Linotype"/>
          <w:sz w:val="20"/>
          <w:szCs w:val="20"/>
        </w:rPr>
        <w:t>Table 5 displays electricity use with the capacity of 1200 VA household spending before and after the rise, Rp 600,000 to Rp 750,000, so the average increase of household expenses reaches to Rp 150,000 per month.</w:t>
      </w:r>
    </w:p>
    <w:p w:rsidR="008F7EAC" w:rsidRDefault="008F7EAC" w:rsidP="00FE65C9">
      <w:pPr>
        <w:ind w:firstLine="720"/>
        <w:jc w:val="both"/>
        <w:rPr>
          <w:rFonts w:ascii="Palatino Linotype" w:hAnsi="Palatino Linotype"/>
          <w:sz w:val="20"/>
          <w:szCs w:val="20"/>
          <w:lang w:val="en-US"/>
        </w:rPr>
      </w:pPr>
    </w:p>
    <w:p w:rsidR="008F7EAC" w:rsidRPr="008F7EAC" w:rsidRDefault="008F7EAC" w:rsidP="00FE65C9">
      <w:pPr>
        <w:ind w:firstLine="720"/>
        <w:jc w:val="both"/>
        <w:rPr>
          <w:rFonts w:ascii="Palatino Linotype" w:hAnsi="Palatino Linotype"/>
          <w:sz w:val="20"/>
          <w:szCs w:val="20"/>
          <w:lang w:val="en-US"/>
        </w:rPr>
      </w:pPr>
    </w:p>
    <w:p w:rsidR="00FE65C9" w:rsidRPr="00FE65C9" w:rsidRDefault="00FE65C9" w:rsidP="00FE65C9">
      <w:pPr>
        <w:pStyle w:val="NoSpacing"/>
        <w:jc w:val="center"/>
        <w:rPr>
          <w:rFonts w:ascii="Palatino Linotype" w:hAnsi="Palatino Linotype"/>
          <w:b/>
          <w:color w:val="000000"/>
          <w:sz w:val="20"/>
          <w:szCs w:val="20"/>
          <w:lang w:val="id-ID"/>
        </w:rPr>
      </w:pPr>
      <w:r w:rsidRPr="00FE65C9">
        <w:rPr>
          <w:rFonts w:ascii="Palatino Linotype" w:hAnsi="Palatino Linotype"/>
          <w:b/>
          <w:color w:val="000000"/>
          <w:sz w:val="20"/>
          <w:szCs w:val="20"/>
          <w:lang w:val="id-ID"/>
        </w:rPr>
        <w:lastRenderedPageBreak/>
        <w:t xml:space="preserve">Table 6. </w:t>
      </w:r>
      <w:r w:rsidRPr="00FE65C9">
        <w:rPr>
          <w:rFonts w:ascii="Palatino Linotype" w:hAnsi="Palatino Linotype"/>
          <w:b/>
          <w:color w:val="000000"/>
          <w:sz w:val="20"/>
          <w:szCs w:val="20"/>
        </w:rPr>
        <w:t>Monthly cost for capacity above 1200</w:t>
      </w:r>
      <w:r w:rsidRPr="00FE65C9">
        <w:rPr>
          <w:rFonts w:ascii="Palatino Linotype" w:hAnsi="Palatino Linotype"/>
          <w:b/>
          <w:color w:val="000000"/>
          <w:sz w:val="20"/>
          <w:szCs w:val="20"/>
          <w:lang w:val="id-ID"/>
        </w:rPr>
        <w:t xml:space="preserve"> VA</w:t>
      </w:r>
    </w:p>
    <w:tbl>
      <w:tblPr>
        <w:tblW w:w="0" w:type="auto"/>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1361"/>
        <w:gridCol w:w="967"/>
        <w:gridCol w:w="967"/>
      </w:tblGrid>
      <w:tr w:rsidR="00FE65C9" w:rsidRPr="00FE65C9" w:rsidTr="00090C65">
        <w:trPr>
          <w:trHeight w:val="165"/>
          <w:jc w:val="center"/>
        </w:trPr>
        <w:tc>
          <w:tcPr>
            <w:tcW w:w="1157" w:type="dxa"/>
            <w:shd w:val="clear" w:color="auto" w:fill="auto"/>
          </w:tcPr>
          <w:p w:rsidR="00FE65C9" w:rsidRPr="00FE65C9" w:rsidRDefault="00FE65C9" w:rsidP="00090C65">
            <w:pPr>
              <w:pStyle w:val="NoSpacing"/>
              <w:jc w:val="both"/>
              <w:rPr>
                <w:rFonts w:ascii="Palatino Linotype" w:hAnsi="Palatino Linotype"/>
                <w:color w:val="000000"/>
                <w:sz w:val="20"/>
                <w:szCs w:val="20"/>
                <w:lang w:val="id-ID"/>
              </w:rPr>
            </w:pPr>
            <w:r w:rsidRPr="00FE65C9">
              <w:rPr>
                <w:rFonts w:ascii="Palatino Linotype" w:hAnsi="Palatino Linotype"/>
                <w:color w:val="000000"/>
                <w:sz w:val="20"/>
                <w:szCs w:val="20"/>
              </w:rPr>
              <w:t>Income Rates</w:t>
            </w:r>
          </w:p>
        </w:tc>
        <w:tc>
          <w:tcPr>
            <w:tcW w:w="1239" w:type="dxa"/>
            <w:shd w:val="clear" w:color="auto" w:fill="auto"/>
          </w:tcPr>
          <w:p w:rsidR="00FE65C9" w:rsidRPr="00FE65C9" w:rsidRDefault="00FE65C9" w:rsidP="00090C65">
            <w:pPr>
              <w:pStyle w:val="NoSpacing"/>
              <w:jc w:val="both"/>
              <w:rPr>
                <w:rFonts w:ascii="Palatino Linotype" w:hAnsi="Palatino Linotype"/>
                <w:color w:val="000000"/>
                <w:sz w:val="20"/>
                <w:szCs w:val="20"/>
                <w:lang w:val="id-ID"/>
              </w:rPr>
            </w:pPr>
            <w:r w:rsidRPr="00FE65C9">
              <w:rPr>
                <w:rFonts w:ascii="Palatino Linotype" w:hAnsi="Palatino Linotype"/>
                <w:color w:val="000000"/>
                <w:sz w:val="20"/>
                <w:szCs w:val="20"/>
              </w:rPr>
              <w:t>Number of Respondents</w:t>
            </w:r>
          </w:p>
        </w:tc>
        <w:tc>
          <w:tcPr>
            <w:tcW w:w="919" w:type="dxa"/>
            <w:shd w:val="clear" w:color="auto" w:fill="auto"/>
          </w:tcPr>
          <w:p w:rsidR="00FE65C9" w:rsidRPr="00FE65C9" w:rsidRDefault="00FE65C9" w:rsidP="00090C65">
            <w:pPr>
              <w:pStyle w:val="NoSpacing"/>
              <w:jc w:val="both"/>
              <w:rPr>
                <w:rFonts w:ascii="Palatino Linotype" w:hAnsi="Palatino Linotype"/>
                <w:color w:val="000000"/>
                <w:sz w:val="20"/>
                <w:szCs w:val="20"/>
                <w:lang w:val="id-ID"/>
              </w:rPr>
            </w:pPr>
            <w:r w:rsidRPr="00FE65C9">
              <w:rPr>
                <w:rFonts w:ascii="Palatino Linotype" w:hAnsi="Palatino Linotype"/>
                <w:color w:val="000000"/>
                <w:sz w:val="20"/>
                <w:szCs w:val="20"/>
              </w:rPr>
              <w:t>Average before the Increase</w:t>
            </w:r>
            <w:r w:rsidRPr="00FE65C9">
              <w:rPr>
                <w:rFonts w:ascii="Palatino Linotype" w:hAnsi="Palatino Linotype"/>
                <w:color w:val="000000"/>
                <w:sz w:val="20"/>
                <w:szCs w:val="20"/>
                <w:lang w:val="id-ID"/>
              </w:rPr>
              <w:t xml:space="preserve"> (Rp))</w:t>
            </w:r>
          </w:p>
        </w:tc>
        <w:tc>
          <w:tcPr>
            <w:tcW w:w="919" w:type="dxa"/>
            <w:shd w:val="clear" w:color="auto" w:fill="auto"/>
          </w:tcPr>
          <w:p w:rsidR="00FE65C9" w:rsidRPr="00FE65C9" w:rsidRDefault="00FE65C9" w:rsidP="00090C65">
            <w:pPr>
              <w:pStyle w:val="NoSpacing"/>
              <w:jc w:val="both"/>
              <w:rPr>
                <w:rFonts w:ascii="Palatino Linotype" w:hAnsi="Palatino Linotype"/>
                <w:color w:val="000000"/>
                <w:sz w:val="20"/>
                <w:szCs w:val="20"/>
                <w:lang w:val="id-ID"/>
              </w:rPr>
            </w:pPr>
            <w:r w:rsidRPr="00FE65C9">
              <w:rPr>
                <w:rFonts w:ascii="Palatino Linotype" w:hAnsi="Palatino Linotype"/>
                <w:color w:val="000000"/>
                <w:sz w:val="20"/>
                <w:szCs w:val="20"/>
              </w:rPr>
              <w:t>Average after the increase</w:t>
            </w:r>
            <w:r w:rsidRPr="00FE65C9">
              <w:rPr>
                <w:rFonts w:ascii="Palatino Linotype" w:hAnsi="Palatino Linotype"/>
                <w:color w:val="000000"/>
                <w:sz w:val="20"/>
                <w:szCs w:val="20"/>
                <w:lang w:val="id-ID"/>
              </w:rPr>
              <w:t xml:space="preserve"> (Rp)</w:t>
            </w:r>
          </w:p>
        </w:tc>
      </w:tr>
      <w:tr w:rsidR="00FE65C9" w:rsidRPr="00FE65C9" w:rsidTr="00090C65">
        <w:trPr>
          <w:trHeight w:val="55"/>
          <w:jc w:val="center"/>
        </w:trPr>
        <w:tc>
          <w:tcPr>
            <w:tcW w:w="1157"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Rp 0 – Rp 2.300.000</w:t>
            </w:r>
          </w:p>
        </w:tc>
        <w:tc>
          <w:tcPr>
            <w:tcW w:w="1239" w:type="dxa"/>
            <w:shd w:val="clear" w:color="auto" w:fill="auto"/>
          </w:tcPr>
          <w:p w:rsidR="00FE65C9" w:rsidRPr="00FE65C9" w:rsidRDefault="00FE65C9" w:rsidP="00090C65">
            <w:pPr>
              <w:pStyle w:val="NoSpacing"/>
              <w:jc w:val="center"/>
              <w:rPr>
                <w:rFonts w:ascii="Palatino Linotype" w:hAnsi="Palatino Linotype"/>
                <w:color w:val="000000"/>
                <w:sz w:val="20"/>
                <w:szCs w:val="20"/>
              </w:rPr>
            </w:pPr>
            <w:r w:rsidRPr="00FE65C9">
              <w:rPr>
                <w:rFonts w:ascii="Palatino Linotype" w:hAnsi="Palatino Linotype"/>
                <w:color w:val="000000"/>
                <w:sz w:val="20"/>
                <w:szCs w:val="20"/>
              </w:rPr>
              <w:t>-</w:t>
            </w:r>
          </w:p>
        </w:tc>
        <w:tc>
          <w:tcPr>
            <w:tcW w:w="919"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w:t>
            </w:r>
          </w:p>
        </w:tc>
        <w:tc>
          <w:tcPr>
            <w:tcW w:w="919"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w:t>
            </w:r>
          </w:p>
        </w:tc>
      </w:tr>
      <w:tr w:rsidR="00FE65C9" w:rsidRPr="00FE65C9" w:rsidTr="00090C65">
        <w:trPr>
          <w:trHeight w:val="111"/>
          <w:jc w:val="center"/>
        </w:trPr>
        <w:tc>
          <w:tcPr>
            <w:tcW w:w="1157"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Rp 2.300.001 s/d Rp 5.000.000</w:t>
            </w:r>
          </w:p>
        </w:tc>
        <w:tc>
          <w:tcPr>
            <w:tcW w:w="1239" w:type="dxa"/>
            <w:shd w:val="clear" w:color="auto" w:fill="auto"/>
          </w:tcPr>
          <w:p w:rsidR="00FE65C9" w:rsidRPr="00FE65C9" w:rsidRDefault="00FE65C9" w:rsidP="00090C65">
            <w:pPr>
              <w:pStyle w:val="NoSpacing"/>
              <w:jc w:val="center"/>
              <w:rPr>
                <w:rFonts w:ascii="Palatino Linotype" w:hAnsi="Palatino Linotype"/>
                <w:color w:val="000000"/>
                <w:sz w:val="20"/>
                <w:szCs w:val="20"/>
                <w:lang w:val="id-ID"/>
              </w:rPr>
            </w:pPr>
            <w:r w:rsidRPr="00FE65C9">
              <w:rPr>
                <w:rFonts w:ascii="Palatino Linotype" w:hAnsi="Palatino Linotype"/>
                <w:color w:val="000000"/>
                <w:sz w:val="20"/>
                <w:szCs w:val="20"/>
                <w:lang w:val="id-ID"/>
              </w:rPr>
              <w:t>2</w:t>
            </w:r>
          </w:p>
        </w:tc>
        <w:tc>
          <w:tcPr>
            <w:tcW w:w="919"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200.000</w:t>
            </w:r>
          </w:p>
        </w:tc>
        <w:tc>
          <w:tcPr>
            <w:tcW w:w="919"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400.000</w:t>
            </w:r>
          </w:p>
        </w:tc>
      </w:tr>
      <w:tr w:rsidR="00FE65C9" w:rsidRPr="00FE65C9" w:rsidTr="00090C65">
        <w:trPr>
          <w:trHeight w:val="111"/>
          <w:jc w:val="center"/>
        </w:trPr>
        <w:tc>
          <w:tcPr>
            <w:tcW w:w="1157"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Rp 5.000.0001 s/d Rp 8.000.000</w:t>
            </w:r>
          </w:p>
        </w:tc>
        <w:tc>
          <w:tcPr>
            <w:tcW w:w="1239" w:type="dxa"/>
            <w:shd w:val="clear" w:color="auto" w:fill="auto"/>
          </w:tcPr>
          <w:p w:rsidR="00FE65C9" w:rsidRPr="00FE65C9" w:rsidRDefault="00FE65C9" w:rsidP="00090C65">
            <w:pPr>
              <w:pStyle w:val="NoSpacing"/>
              <w:jc w:val="center"/>
              <w:rPr>
                <w:rFonts w:ascii="Palatino Linotype" w:hAnsi="Palatino Linotype"/>
                <w:color w:val="000000"/>
                <w:sz w:val="20"/>
                <w:szCs w:val="20"/>
                <w:lang w:val="id-ID"/>
              </w:rPr>
            </w:pPr>
            <w:r w:rsidRPr="00FE65C9">
              <w:rPr>
                <w:rFonts w:ascii="Palatino Linotype" w:hAnsi="Palatino Linotype"/>
                <w:color w:val="000000"/>
                <w:sz w:val="20"/>
                <w:szCs w:val="20"/>
                <w:lang w:val="id-ID"/>
              </w:rPr>
              <w:t>1</w:t>
            </w:r>
          </w:p>
        </w:tc>
        <w:tc>
          <w:tcPr>
            <w:tcW w:w="919"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650.000</w:t>
            </w:r>
          </w:p>
        </w:tc>
        <w:tc>
          <w:tcPr>
            <w:tcW w:w="919"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700.000</w:t>
            </w:r>
          </w:p>
        </w:tc>
      </w:tr>
      <w:tr w:rsidR="00FE65C9" w:rsidRPr="00FE65C9" w:rsidTr="00090C65">
        <w:trPr>
          <w:trHeight w:val="29"/>
          <w:jc w:val="center"/>
        </w:trPr>
        <w:tc>
          <w:tcPr>
            <w:tcW w:w="1157"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color w:val="000000"/>
                <w:sz w:val="20"/>
                <w:szCs w:val="20"/>
              </w:rPr>
              <w:t>Above Rp 8.000.001</w:t>
            </w:r>
          </w:p>
        </w:tc>
        <w:tc>
          <w:tcPr>
            <w:tcW w:w="1239" w:type="dxa"/>
            <w:shd w:val="clear" w:color="auto" w:fill="auto"/>
          </w:tcPr>
          <w:p w:rsidR="00FE65C9" w:rsidRPr="00FE65C9" w:rsidRDefault="00FE65C9" w:rsidP="00090C65">
            <w:pPr>
              <w:pStyle w:val="NoSpacing"/>
              <w:jc w:val="center"/>
              <w:rPr>
                <w:rFonts w:ascii="Palatino Linotype" w:hAnsi="Palatino Linotype"/>
                <w:color w:val="000000"/>
                <w:sz w:val="20"/>
                <w:szCs w:val="20"/>
                <w:lang w:val="id-ID"/>
              </w:rPr>
            </w:pPr>
            <w:r w:rsidRPr="00FE65C9">
              <w:rPr>
                <w:rFonts w:ascii="Palatino Linotype" w:hAnsi="Palatino Linotype"/>
                <w:color w:val="000000"/>
                <w:sz w:val="20"/>
                <w:szCs w:val="20"/>
                <w:lang w:val="id-ID"/>
              </w:rPr>
              <w:t>3</w:t>
            </w:r>
          </w:p>
        </w:tc>
        <w:tc>
          <w:tcPr>
            <w:tcW w:w="919"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750.000</w:t>
            </w:r>
          </w:p>
        </w:tc>
        <w:tc>
          <w:tcPr>
            <w:tcW w:w="919"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820.000</w:t>
            </w:r>
          </w:p>
        </w:tc>
      </w:tr>
      <w:tr w:rsidR="00FE65C9" w:rsidRPr="00FE65C9" w:rsidTr="00090C65">
        <w:trPr>
          <w:trHeight w:val="16"/>
          <w:jc w:val="center"/>
        </w:trPr>
        <w:tc>
          <w:tcPr>
            <w:tcW w:w="1157" w:type="dxa"/>
            <w:shd w:val="clear" w:color="auto" w:fill="auto"/>
          </w:tcPr>
          <w:p w:rsidR="00FE65C9" w:rsidRPr="00FE65C9" w:rsidRDefault="00FE65C9" w:rsidP="00090C65">
            <w:pPr>
              <w:pStyle w:val="NoSpacing"/>
              <w:jc w:val="both"/>
              <w:rPr>
                <w:rFonts w:ascii="Palatino Linotype" w:hAnsi="Palatino Linotype"/>
                <w:color w:val="000000"/>
                <w:sz w:val="20"/>
                <w:szCs w:val="20"/>
              </w:rPr>
            </w:pPr>
            <w:r w:rsidRPr="00FE65C9">
              <w:rPr>
                <w:rFonts w:ascii="Palatino Linotype" w:hAnsi="Palatino Linotype"/>
                <w:b/>
                <w:color w:val="000000"/>
                <w:sz w:val="20"/>
                <w:szCs w:val="20"/>
              </w:rPr>
              <w:t>TOTAL</w:t>
            </w:r>
          </w:p>
        </w:tc>
        <w:tc>
          <w:tcPr>
            <w:tcW w:w="1239" w:type="dxa"/>
            <w:shd w:val="clear" w:color="auto" w:fill="auto"/>
          </w:tcPr>
          <w:p w:rsidR="00FE65C9" w:rsidRPr="00FE65C9" w:rsidRDefault="00FE65C9" w:rsidP="00090C65">
            <w:pPr>
              <w:pStyle w:val="NoSpacing"/>
              <w:jc w:val="center"/>
              <w:rPr>
                <w:rFonts w:ascii="Palatino Linotype" w:hAnsi="Palatino Linotype"/>
                <w:color w:val="000000"/>
                <w:sz w:val="20"/>
                <w:szCs w:val="20"/>
                <w:lang w:val="id-ID"/>
              </w:rPr>
            </w:pPr>
            <w:r w:rsidRPr="00FE65C9">
              <w:rPr>
                <w:rFonts w:ascii="Palatino Linotype" w:hAnsi="Palatino Linotype"/>
                <w:color w:val="000000"/>
                <w:sz w:val="20"/>
                <w:szCs w:val="20"/>
                <w:lang w:val="id-ID"/>
              </w:rPr>
              <w:t>6</w:t>
            </w:r>
          </w:p>
        </w:tc>
        <w:tc>
          <w:tcPr>
            <w:tcW w:w="919"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800.000</w:t>
            </w:r>
          </w:p>
        </w:tc>
        <w:tc>
          <w:tcPr>
            <w:tcW w:w="919" w:type="dxa"/>
            <w:shd w:val="clear" w:color="auto" w:fill="auto"/>
          </w:tcPr>
          <w:p w:rsidR="00FE65C9" w:rsidRPr="00FE65C9" w:rsidRDefault="00FE65C9" w:rsidP="00090C65">
            <w:pPr>
              <w:pStyle w:val="NoSpacing"/>
              <w:jc w:val="right"/>
              <w:rPr>
                <w:rFonts w:ascii="Palatino Linotype" w:hAnsi="Palatino Linotype"/>
                <w:color w:val="000000"/>
                <w:sz w:val="20"/>
                <w:szCs w:val="20"/>
                <w:lang w:val="id-ID"/>
              </w:rPr>
            </w:pPr>
            <w:r w:rsidRPr="00FE65C9">
              <w:rPr>
                <w:rFonts w:ascii="Palatino Linotype" w:hAnsi="Palatino Linotype"/>
                <w:color w:val="000000"/>
                <w:sz w:val="20"/>
                <w:szCs w:val="20"/>
                <w:lang w:val="id-ID"/>
              </w:rPr>
              <w:t>960.000</w:t>
            </w:r>
          </w:p>
        </w:tc>
      </w:tr>
    </w:tbl>
    <w:p w:rsidR="00FE65C9" w:rsidRPr="00FE65C9" w:rsidRDefault="00FE65C9" w:rsidP="00FE65C9">
      <w:pPr>
        <w:pStyle w:val="NoSpacing"/>
        <w:rPr>
          <w:rFonts w:ascii="Palatino Linotype" w:hAnsi="Palatino Linotype"/>
          <w:sz w:val="20"/>
          <w:szCs w:val="20"/>
        </w:rPr>
      </w:pPr>
    </w:p>
    <w:p w:rsidR="00FE65C9" w:rsidRPr="00FE65C9" w:rsidRDefault="00FE65C9" w:rsidP="00FE65C9">
      <w:pPr>
        <w:ind w:firstLine="720"/>
        <w:jc w:val="both"/>
        <w:rPr>
          <w:rFonts w:ascii="Palatino Linotype" w:hAnsi="Palatino Linotype"/>
          <w:sz w:val="20"/>
          <w:szCs w:val="20"/>
        </w:rPr>
      </w:pPr>
      <w:r w:rsidRPr="00FE65C9">
        <w:rPr>
          <w:rFonts w:ascii="Palatino Linotype" w:hAnsi="Palatino Linotype"/>
          <w:sz w:val="20"/>
          <w:szCs w:val="20"/>
        </w:rPr>
        <w:t>Table 6 shows household expenses for electricity with the capacity above 1200 VA before and after, Rp 800,000 to Rp 960,000, so the average household spending increases for the electricity bill is Rp 160,000 per month.</w:t>
      </w:r>
    </w:p>
    <w:p w:rsidR="00FE65C9" w:rsidRPr="00FE65C9" w:rsidRDefault="00FE65C9" w:rsidP="00FE65C9">
      <w:pPr>
        <w:pStyle w:val="NoSpacing"/>
        <w:jc w:val="both"/>
        <w:rPr>
          <w:rFonts w:ascii="Palatino Linotype" w:hAnsi="Palatino Linotype"/>
          <w:b/>
          <w:sz w:val="20"/>
          <w:szCs w:val="20"/>
          <w:lang w:val="id-ID"/>
        </w:rPr>
      </w:pPr>
    </w:p>
    <w:p w:rsidR="00FE65C9" w:rsidRPr="00FE65C9" w:rsidRDefault="00FE65C9" w:rsidP="00FE65C9">
      <w:pPr>
        <w:pStyle w:val="NoSpacing"/>
        <w:jc w:val="both"/>
        <w:rPr>
          <w:rFonts w:ascii="Palatino Linotype" w:hAnsi="Palatino Linotype"/>
          <w:b/>
          <w:sz w:val="20"/>
          <w:szCs w:val="20"/>
          <w:lang w:val="id-ID"/>
        </w:rPr>
      </w:pPr>
      <w:r w:rsidRPr="00FE65C9">
        <w:rPr>
          <w:rFonts w:ascii="Palatino Linotype" w:hAnsi="Palatino Linotype"/>
          <w:b/>
          <w:sz w:val="20"/>
          <w:szCs w:val="20"/>
        </w:rPr>
        <w:t>Discussions</w:t>
      </w:r>
    </w:p>
    <w:p w:rsidR="00FE65C9" w:rsidRPr="00FE65C9" w:rsidRDefault="00FE65C9" w:rsidP="00FE65C9">
      <w:pPr>
        <w:pStyle w:val="NoSpacing"/>
        <w:ind w:firstLine="709"/>
        <w:jc w:val="both"/>
        <w:rPr>
          <w:rFonts w:ascii="Palatino Linotype" w:hAnsi="Palatino Linotype"/>
          <w:sz w:val="20"/>
          <w:szCs w:val="20"/>
          <w:lang w:val="id-ID"/>
        </w:rPr>
      </w:pPr>
      <w:r w:rsidRPr="00FE65C9">
        <w:rPr>
          <w:rFonts w:ascii="Palatino Linotype" w:hAnsi="Palatino Linotype"/>
          <w:sz w:val="20"/>
          <w:szCs w:val="20"/>
        </w:rPr>
        <w:t>Based on the above data it can be interpreted that the income levels of society in Pekanbaru is still dominated by those who earn minimum wage as of 57% meaning that they still rely on private-sector employees working on the lower level, labors and other types of labors. Those who work as employees in private sectors are considered to have incomes above minimum wage. This class belongs to the level of supervisor or middle management. If minimum income is Rp 2,300,000, it will be so hard to manage the expenditure that it will surely be heavier with an increase in basic tariff reaching 100% (one hundred percent) for 900 VA power throughout 2017</w:t>
      </w:r>
      <w:r w:rsidRPr="00FE65C9">
        <w:rPr>
          <w:rFonts w:ascii="Palatino Linotype" w:hAnsi="Palatino Linotype"/>
          <w:sz w:val="20"/>
          <w:szCs w:val="20"/>
          <w:lang w:val="id-ID"/>
        </w:rPr>
        <w:t xml:space="preserve">. Research result </w:t>
      </w:r>
      <w:r w:rsidRPr="00FE65C9">
        <w:rPr>
          <w:rFonts w:ascii="Palatino Linotype" w:hAnsi="Palatino Linotype"/>
          <w:sz w:val="20"/>
          <w:szCs w:val="20"/>
        </w:rPr>
        <w:t>Purbaningrum (2014) mentioned that the consumption of electricity within the power capacity of 450 VA was of 73, 117KWh/month, 900 VA-power of 124.409 KWh/month then 1,300 power of 257.068 KWh/month</w:t>
      </w:r>
      <w:r w:rsidRPr="00FE65C9">
        <w:rPr>
          <w:rFonts w:ascii="Palatino Linotype" w:hAnsi="Palatino Linotype"/>
          <w:sz w:val="20"/>
          <w:szCs w:val="20"/>
          <w:lang w:val="id-ID"/>
        </w:rPr>
        <w:t xml:space="preserve">. </w:t>
      </w:r>
      <w:r w:rsidRPr="00FE65C9">
        <w:rPr>
          <w:rStyle w:val="tlid-translation"/>
          <w:rFonts w:ascii="Palatino Linotype" w:hAnsi="Palatino Linotype"/>
          <w:sz w:val="20"/>
          <w:szCs w:val="20"/>
        </w:rPr>
        <w:t xml:space="preserve">That household electrical consumption is dominant at 900 </w:t>
      </w:r>
      <w:r w:rsidRPr="00FE65C9">
        <w:rPr>
          <w:rStyle w:val="tlid-translation"/>
          <w:rFonts w:ascii="Palatino Linotype" w:hAnsi="Palatino Linotype"/>
          <w:sz w:val="20"/>
          <w:szCs w:val="20"/>
          <w:lang w:val="id-ID"/>
        </w:rPr>
        <w:t>VA</w:t>
      </w:r>
      <w:r w:rsidRPr="00FE65C9">
        <w:rPr>
          <w:rStyle w:val="tlid-translation"/>
          <w:rFonts w:ascii="Palatino Linotype" w:hAnsi="Palatino Linotype"/>
          <w:sz w:val="20"/>
          <w:szCs w:val="20"/>
        </w:rPr>
        <w:t xml:space="preserve"> and 1300 </w:t>
      </w:r>
      <w:r w:rsidRPr="00FE65C9">
        <w:rPr>
          <w:rStyle w:val="tlid-translation"/>
          <w:rFonts w:ascii="Palatino Linotype" w:hAnsi="Palatino Linotype"/>
          <w:sz w:val="20"/>
          <w:szCs w:val="20"/>
          <w:lang w:val="id-ID"/>
        </w:rPr>
        <w:t>VA.</w:t>
      </w:r>
    </w:p>
    <w:p w:rsidR="00FE65C9" w:rsidRPr="00FE65C9" w:rsidRDefault="00FE65C9" w:rsidP="00FE65C9">
      <w:pPr>
        <w:pStyle w:val="NoSpacing"/>
        <w:ind w:firstLine="709"/>
        <w:jc w:val="both"/>
        <w:rPr>
          <w:rFonts w:ascii="Palatino Linotype" w:hAnsi="Palatino Linotype"/>
          <w:sz w:val="20"/>
          <w:szCs w:val="20"/>
        </w:rPr>
      </w:pPr>
      <w:r w:rsidRPr="00FE65C9">
        <w:rPr>
          <w:rFonts w:ascii="Palatino Linotype" w:hAnsi="Palatino Linotype"/>
          <w:sz w:val="20"/>
          <w:szCs w:val="20"/>
        </w:rPr>
        <w:t>House holds who earn Rp 2.3 million average has 1 (one) and 2 (two) children while the wife just profession as a housewife. If we do surgery expenditures for households with 2 (two) children and establishes signed with electricity 900 VA, then can be seen as follows:</w:t>
      </w:r>
    </w:p>
    <w:p w:rsidR="00FE65C9" w:rsidRPr="00FE65C9" w:rsidRDefault="00FE65C9" w:rsidP="00FE65C9">
      <w:pPr>
        <w:pStyle w:val="NoSpacing"/>
        <w:jc w:val="both"/>
        <w:rPr>
          <w:rFonts w:ascii="Palatino Linotype" w:hAnsi="Palatino Linotype"/>
          <w:b/>
          <w:sz w:val="20"/>
          <w:szCs w:val="20"/>
        </w:rPr>
      </w:pPr>
    </w:p>
    <w:p w:rsidR="00FE65C9" w:rsidRPr="00FE65C9" w:rsidRDefault="00FE65C9" w:rsidP="00FE65C9">
      <w:pPr>
        <w:pStyle w:val="NoSpacing"/>
        <w:jc w:val="center"/>
        <w:rPr>
          <w:rFonts w:ascii="Palatino Linotype" w:hAnsi="Palatino Linotype"/>
          <w:b/>
          <w:sz w:val="20"/>
          <w:szCs w:val="20"/>
        </w:rPr>
      </w:pPr>
      <w:r w:rsidRPr="00FE65C9">
        <w:rPr>
          <w:rFonts w:ascii="Palatino Linotype" w:hAnsi="Palatino Linotype"/>
          <w:b/>
          <w:sz w:val="20"/>
          <w:szCs w:val="20"/>
          <w:lang w:val="id-ID"/>
        </w:rPr>
        <w:t xml:space="preserve">Tabel 7. </w:t>
      </w:r>
      <w:r w:rsidRPr="00FE65C9">
        <w:rPr>
          <w:rFonts w:ascii="Palatino Linotype" w:hAnsi="Palatino Linotype"/>
          <w:sz w:val="20"/>
          <w:szCs w:val="20"/>
        </w:rPr>
        <w:t>Details of Household Expenditure before an Increase in Basic Tariff of Electricity price</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1421"/>
        <w:gridCol w:w="1097"/>
      </w:tblGrid>
      <w:tr w:rsidR="00FE65C9" w:rsidRPr="00FE65C9" w:rsidTr="00090C65">
        <w:trPr>
          <w:jc w:val="center"/>
        </w:trPr>
        <w:tc>
          <w:tcPr>
            <w:tcW w:w="1629" w:type="dxa"/>
            <w:shd w:val="clear" w:color="auto" w:fill="auto"/>
          </w:tcPr>
          <w:p w:rsidR="00FE65C9" w:rsidRPr="00FE65C9" w:rsidRDefault="00FE65C9" w:rsidP="00090C65">
            <w:pPr>
              <w:pStyle w:val="NoSpacing"/>
              <w:jc w:val="both"/>
              <w:rPr>
                <w:rFonts w:ascii="Palatino Linotype" w:hAnsi="Palatino Linotype"/>
                <w:b/>
                <w:sz w:val="20"/>
                <w:szCs w:val="20"/>
              </w:rPr>
            </w:pPr>
            <w:r w:rsidRPr="00FE65C9">
              <w:rPr>
                <w:rFonts w:ascii="Palatino Linotype" w:hAnsi="Palatino Linotype"/>
                <w:b/>
                <w:sz w:val="20"/>
                <w:szCs w:val="20"/>
              </w:rPr>
              <w:t xml:space="preserve">Item </w:t>
            </w:r>
          </w:p>
        </w:tc>
        <w:tc>
          <w:tcPr>
            <w:tcW w:w="1421" w:type="dxa"/>
            <w:shd w:val="clear" w:color="auto" w:fill="auto"/>
          </w:tcPr>
          <w:p w:rsidR="00FE65C9" w:rsidRPr="00FE65C9" w:rsidRDefault="00FE65C9" w:rsidP="00090C65">
            <w:pPr>
              <w:pStyle w:val="NoSpacing"/>
              <w:jc w:val="both"/>
              <w:rPr>
                <w:rFonts w:ascii="Palatino Linotype" w:hAnsi="Palatino Linotype"/>
                <w:b/>
                <w:sz w:val="20"/>
                <w:szCs w:val="20"/>
              </w:rPr>
            </w:pPr>
            <w:r w:rsidRPr="00FE65C9">
              <w:rPr>
                <w:rFonts w:ascii="Palatino Linotype" w:hAnsi="Palatino Linotype"/>
                <w:b/>
                <w:sz w:val="20"/>
                <w:szCs w:val="20"/>
              </w:rPr>
              <w:t>descriptions</w:t>
            </w:r>
          </w:p>
        </w:tc>
        <w:tc>
          <w:tcPr>
            <w:tcW w:w="1097" w:type="dxa"/>
            <w:shd w:val="clear" w:color="auto" w:fill="auto"/>
          </w:tcPr>
          <w:p w:rsidR="00FE65C9" w:rsidRPr="00FE65C9" w:rsidRDefault="00FE65C9" w:rsidP="00090C65">
            <w:pPr>
              <w:pStyle w:val="NoSpacing"/>
              <w:jc w:val="both"/>
              <w:rPr>
                <w:rFonts w:ascii="Palatino Linotype" w:hAnsi="Palatino Linotype"/>
                <w:b/>
                <w:sz w:val="20"/>
                <w:szCs w:val="20"/>
                <w:lang w:val="id-ID"/>
              </w:rPr>
            </w:pPr>
            <w:r w:rsidRPr="00FE65C9">
              <w:rPr>
                <w:rFonts w:ascii="Palatino Linotype" w:hAnsi="Palatino Linotype"/>
                <w:b/>
                <w:sz w:val="20"/>
                <w:szCs w:val="20"/>
              </w:rPr>
              <w:t xml:space="preserve">Amount </w:t>
            </w:r>
            <w:r w:rsidRPr="00FE65C9">
              <w:rPr>
                <w:rFonts w:ascii="Palatino Linotype" w:hAnsi="Palatino Linotype"/>
                <w:b/>
                <w:sz w:val="20"/>
                <w:szCs w:val="20"/>
                <w:lang w:val="id-ID"/>
              </w:rPr>
              <w:t>(Rp)</w:t>
            </w:r>
          </w:p>
        </w:tc>
      </w:tr>
      <w:tr w:rsidR="00FE65C9" w:rsidRPr="00FE65C9" w:rsidTr="00090C65">
        <w:trPr>
          <w:jc w:val="center"/>
        </w:trPr>
        <w:tc>
          <w:tcPr>
            <w:tcW w:w="1629"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rPr>
              <w:t>House rental</w:t>
            </w:r>
          </w:p>
        </w:tc>
        <w:tc>
          <w:tcPr>
            <w:tcW w:w="1421" w:type="dxa"/>
            <w:shd w:val="clear" w:color="auto" w:fill="auto"/>
          </w:tcPr>
          <w:p w:rsidR="00FE65C9" w:rsidRPr="00FE65C9" w:rsidRDefault="00FE65C9" w:rsidP="00090C65">
            <w:pPr>
              <w:pStyle w:val="NoSpacing"/>
              <w:jc w:val="both"/>
              <w:rPr>
                <w:rFonts w:ascii="Palatino Linotype" w:hAnsi="Palatino Linotype"/>
                <w:sz w:val="20"/>
                <w:szCs w:val="20"/>
              </w:rPr>
            </w:pPr>
            <w:r w:rsidRPr="00FE65C9">
              <w:rPr>
                <w:rFonts w:ascii="Palatino Linotype" w:hAnsi="Palatino Linotype"/>
                <w:sz w:val="20"/>
                <w:szCs w:val="20"/>
                <w:lang w:val="id-ID"/>
              </w:rPr>
              <w:t xml:space="preserve">1 </w:t>
            </w:r>
            <w:r w:rsidRPr="00FE65C9">
              <w:rPr>
                <w:rFonts w:ascii="Palatino Linotype" w:hAnsi="Palatino Linotype"/>
                <w:sz w:val="20"/>
                <w:szCs w:val="20"/>
              </w:rPr>
              <w:t>month</w:t>
            </w:r>
          </w:p>
        </w:tc>
        <w:tc>
          <w:tcPr>
            <w:tcW w:w="1097" w:type="dxa"/>
            <w:shd w:val="clear" w:color="auto" w:fill="auto"/>
          </w:tcPr>
          <w:p w:rsidR="00FE65C9" w:rsidRPr="00FE65C9" w:rsidRDefault="00FE65C9" w:rsidP="00090C65">
            <w:pPr>
              <w:pStyle w:val="NoSpacing"/>
              <w:jc w:val="right"/>
              <w:rPr>
                <w:rFonts w:ascii="Palatino Linotype" w:hAnsi="Palatino Linotype"/>
                <w:sz w:val="20"/>
                <w:szCs w:val="20"/>
              </w:rPr>
            </w:pPr>
            <w:r w:rsidRPr="00FE65C9">
              <w:rPr>
                <w:rFonts w:ascii="Palatino Linotype" w:hAnsi="Palatino Linotype"/>
                <w:sz w:val="20"/>
                <w:szCs w:val="20"/>
              </w:rPr>
              <w:t>400.000</w:t>
            </w:r>
          </w:p>
        </w:tc>
      </w:tr>
      <w:tr w:rsidR="00FE65C9" w:rsidRPr="00FE65C9" w:rsidTr="00090C65">
        <w:trPr>
          <w:jc w:val="center"/>
        </w:trPr>
        <w:tc>
          <w:tcPr>
            <w:tcW w:w="1629"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rPr>
              <w:t>Electricity bill</w:t>
            </w:r>
          </w:p>
        </w:tc>
        <w:tc>
          <w:tcPr>
            <w:tcW w:w="1421"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lang w:val="id-ID"/>
              </w:rPr>
              <w:t>1 bulan</w:t>
            </w:r>
          </w:p>
        </w:tc>
        <w:tc>
          <w:tcPr>
            <w:tcW w:w="1097" w:type="dxa"/>
            <w:shd w:val="clear" w:color="auto" w:fill="auto"/>
          </w:tcPr>
          <w:p w:rsidR="00FE65C9" w:rsidRPr="00FE65C9" w:rsidRDefault="00FE65C9" w:rsidP="00090C65">
            <w:pPr>
              <w:pStyle w:val="NoSpacing"/>
              <w:jc w:val="right"/>
              <w:rPr>
                <w:rFonts w:ascii="Palatino Linotype" w:hAnsi="Palatino Linotype"/>
                <w:sz w:val="20"/>
                <w:szCs w:val="20"/>
              </w:rPr>
            </w:pPr>
            <w:r w:rsidRPr="00FE65C9">
              <w:rPr>
                <w:rFonts w:ascii="Palatino Linotype" w:hAnsi="Palatino Linotype"/>
                <w:sz w:val="20"/>
                <w:szCs w:val="20"/>
              </w:rPr>
              <w:t>150.000</w:t>
            </w:r>
          </w:p>
        </w:tc>
      </w:tr>
      <w:tr w:rsidR="00FE65C9" w:rsidRPr="00FE65C9" w:rsidTr="00090C65">
        <w:trPr>
          <w:jc w:val="center"/>
        </w:trPr>
        <w:tc>
          <w:tcPr>
            <w:tcW w:w="1629"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rPr>
              <w:t>Daily meal</w:t>
            </w:r>
          </w:p>
        </w:tc>
        <w:tc>
          <w:tcPr>
            <w:tcW w:w="1421"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rPr>
              <w:t>3 times a day @ Rp 30.000</w:t>
            </w:r>
          </w:p>
        </w:tc>
        <w:tc>
          <w:tcPr>
            <w:tcW w:w="1097" w:type="dxa"/>
            <w:shd w:val="clear" w:color="auto" w:fill="auto"/>
          </w:tcPr>
          <w:p w:rsidR="00FE65C9" w:rsidRPr="00FE65C9" w:rsidRDefault="00FE65C9" w:rsidP="00090C65">
            <w:pPr>
              <w:pStyle w:val="NoSpacing"/>
              <w:jc w:val="right"/>
              <w:rPr>
                <w:rFonts w:ascii="Palatino Linotype" w:hAnsi="Palatino Linotype"/>
                <w:sz w:val="20"/>
                <w:szCs w:val="20"/>
              </w:rPr>
            </w:pPr>
            <w:r w:rsidRPr="00FE65C9">
              <w:rPr>
                <w:rFonts w:ascii="Palatino Linotype" w:hAnsi="Palatino Linotype"/>
                <w:sz w:val="20"/>
                <w:szCs w:val="20"/>
              </w:rPr>
              <w:t>900.000</w:t>
            </w:r>
          </w:p>
        </w:tc>
      </w:tr>
      <w:tr w:rsidR="00FE65C9" w:rsidRPr="00FE65C9" w:rsidTr="00090C65">
        <w:trPr>
          <w:jc w:val="center"/>
        </w:trPr>
        <w:tc>
          <w:tcPr>
            <w:tcW w:w="1629" w:type="dxa"/>
            <w:shd w:val="clear" w:color="auto" w:fill="auto"/>
          </w:tcPr>
          <w:p w:rsidR="00FE65C9" w:rsidRPr="00FE65C9" w:rsidRDefault="00FE65C9" w:rsidP="00090C65">
            <w:pPr>
              <w:pStyle w:val="NoSpacing"/>
              <w:jc w:val="both"/>
              <w:rPr>
                <w:rFonts w:ascii="Palatino Linotype" w:hAnsi="Palatino Linotype"/>
                <w:sz w:val="20"/>
                <w:szCs w:val="20"/>
              </w:rPr>
            </w:pPr>
            <w:r w:rsidRPr="00FE65C9">
              <w:rPr>
                <w:rFonts w:ascii="Palatino Linotype" w:hAnsi="Palatino Linotype"/>
                <w:sz w:val="20"/>
                <w:szCs w:val="20"/>
              </w:rPr>
              <w:t>Cellular cost</w:t>
            </w:r>
          </w:p>
        </w:tc>
        <w:tc>
          <w:tcPr>
            <w:tcW w:w="1421" w:type="dxa"/>
            <w:shd w:val="clear" w:color="auto" w:fill="auto"/>
          </w:tcPr>
          <w:p w:rsidR="00FE65C9" w:rsidRPr="00FE65C9" w:rsidRDefault="00FE65C9" w:rsidP="00090C65">
            <w:pPr>
              <w:pStyle w:val="NoSpacing"/>
              <w:jc w:val="both"/>
              <w:rPr>
                <w:rFonts w:ascii="Palatino Linotype" w:hAnsi="Palatino Linotype"/>
                <w:sz w:val="20"/>
                <w:szCs w:val="20"/>
              </w:rPr>
            </w:pPr>
            <w:r w:rsidRPr="00FE65C9">
              <w:rPr>
                <w:rFonts w:ascii="Palatino Linotype" w:hAnsi="Palatino Linotype"/>
                <w:sz w:val="20"/>
                <w:szCs w:val="20"/>
                <w:lang w:val="id-ID"/>
              </w:rPr>
              <w:t xml:space="preserve">1 </w:t>
            </w:r>
            <w:r w:rsidRPr="00FE65C9">
              <w:rPr>
                <w:rFonts w:ascii="Palatino Linotype" w:hAnsi="Palatino Linotype"/>
                <w:sz w:val="20"/>
                <w:szCs w:val="20"/>
              </w:rPr>
              <w:t>month</w:t>
            </w:r>
          </w:p>
        </w:tc>
        <w:tc>
          <w:tcPr>
            <w:tcW w:w="1097" w:type="dxa"/>
            <w:shd w:val="clear" w:color="auto" w:fill="auto"/>
          </w:tcPr>
          <w:p w:rsidR="00FE65C9" w:rsidRPr="00FE65C9" w:rsidRDefault="00FE65C9" w:rsidP="00090C65">
            <w:pPr>
              <w:pStyle w:val="NoSpacing"/>
              <w:jc w:val="right"/>
              <w:rPr>
                <w:rFonts w:ascii="Palatino Linotype" w:hAnsi="Palatino Linotype"/>
                <w:sz w:val="20"/>
                <w:szCs w:val="20"/>
              </w:rPr>
            </w:pPr>
            <w:r w:rsidRPr="00FE65C9">
              <w:rPr>
                <w:rFonts w:ascii="Palatino Linotype" w:hAnsi="Palatino Linotype"/>
                <w:sz w:val="20"/>
                <w:szCs w:val="20"/>
              </w:rPr>
              <w:t>100.000</w:t>
            </w:r>
          </w:p>
        </w:tc>
      </w:tr>
      <w:tr w:rsidR="00FE65C9" w:rsidRPr="00FE65C9" w:rsidTr="00090C65">
        <w:trPr>
          <w:jc w:val="center"/>
        </w:trPr>
        <w:tc>
          <w:tcPr>
            <w:tcW w:w="1629"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rPr>
              <w:t>Transportation</w:t>
            </w:r>
          </w:p>
        </w:tc>
        <w:tc>
          <w:tcPr>
            <w:tcW w:w="1421"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rPr>
              <w:t xml:space="preserve">20 working days @ Rp </w:t>
            </w:r>
            <w:r w:rsidRPr="00FE65C9">
              <w:rPr>
                <w:rFonts w:ascii="Palatino Linotype" w:hAnsi="Palatino Linotype"/>
                <w:sz w:val="20"/>
                <w:szCs w:val="20"/>
              </w:rPr>
              <w:lastRenderedPageBreak/>
              <w:t>10,000</w:t>
            </w:r>
          </w:p>
        </w:tc>
        <w:tc>
          <w:tcPr>
            <w:tcW w:w="1097" w:type="dxa"/>
            <w:shd w:val="clear" w:color="auto" w:fill="auto"/>
          </w:tcPr>
          <w:p w:rsidR="00FE65C9" w:rsidRPr="00FE65C9" w:rsidRDefault="00FE65C9" w:rsidP="00090C65">
            <w:pPr>
              <w:pStyle w:val="NoSpacing"/>
              <w:jc w:val="right"/>
              <w:rPr>
                <w:rFonts w:ascii="Palatino Linotype" w:hAnsi="Palatino Linotype"/>
                <w:sz w:val="20"/>
                <w:szCs w:val="20"/>
              </w:rPr>
            </w:pPr>
            <w:r w:rsidRPr="00FE65C9">
              <w:rPr>
                <w:rFonts w:ascii="Palatino Linotype" w:hAnsi="Palatino Linotype"/>
                <w:sz w:val="20"/>
                <w:szCs w:val="20"/>
              </w:rPr>
              <w:lastRenderedPageBreak/>
              <w:t>200.000</w:t>
            </w:r>
          </w:p>
        </w:tc>
      </w:tr>
      <w:tr w:rsidR="00FE65C9" w:rsidRPr="00FE65C9" w:rsidTr="00090C65">
        <w:trPr>
          <w:jc w:val="center"/>
        </w:trPr>
        <w:tc>
          <w:tcPr>
            <w:tcW w:w="1629" w:type="dxa"/>
            <w:shd w:val="clear" w:color="auto" w:fill="auto"/>
          </w:tcPr>
          <w:p w:rsidR="00FE65C9" w:rsidRPr="00FE65C9" w:rsidRDefault="00FE65C9" w:rsidP="00090C65">
            <w:pPr>
              <w:pStyle w:val="NoSpacing"/>
              <w:jc w:val="both"/>
              <w:rPr>
                <w:rFonts w:ascii="Palatino Linotype" w:hAnsi="Palatino Linotype"/>
                <w:sz w:val="20"/>
                <w:szCs w:val="20"/>
              </w:rPr>
            </w:pPr>
            <w:r w:rsidRPr="00FE65C9">
              <w:rPr>
                <w:rFonts w:ascii="Palatino Linotype" w:hAnsi="Palatino Linotype"/>
                <w:sz w:val="20"/>
                <w:szCs w:val="20"/>
              </w:rPr>
              <w:lastRenderedPageBreak/>
              <w:t>Kids’ allowance</w:t>
            </w:r>
          </w:p>
        </w:tc>
        <w:tc>
          <w:tcPr>
            <w:tcW w:w="1421"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rPr>
              <w:t>24-day school children @Rp 5,000 x 2 kids</w:t>
            </w:r>
          </w:p>
        </w:tc>
        <w:tc>
          <w:tcPr>
            <w:tcW w:w="1097" w:type="dxa"/>
            <w:shd w:val="clear" w:color="auto" w:fill="auto"/>
          </w:tcPr>
          <w:p w:rsidR="00FE65C9" w:rsidRPr="00FE65C9" w:rsidRDefault="00FE65C9" w:rsidP="00090C65">
            <w:pPr>
              <w:pStyle w:val="NoSpacing"/>
              <w:jc w:val="right"/>
              <w:rPr>
                <w:rFonts w:ascii="Palatino Linotype" w:hAnsi="Palatino Linotype"/>
                <w:sz w:val="20"/>
                <w:szCs w:val="20"/>
              </w:rPr>
            </w:pPr>
            <w:r w:rsidRPr="00FE65C9">
              <w:rPr>
                <w:rFonts w:ascii="Palatino Linotype" w:hAnsi="Palatino Linotype"/>
                <w:sz w:val="20"/>
                <w:szCs w:val="20"/>
              </w:rPr>
              <w:t>240.000</w:t>
            </w:r>
          </w:p>
        </w:tc>
      </w:tr>
      <w:tr w:rsidR="00FE65C9" w:rsidRPr="00FE65C9" w:rsidTr="00090C65">
        <w:trPr>
          <w:jc w:val="center"/>
        </w:trPr>
        <w:tc>
          <w:tcPr>
            <w:tcW w:w="1629" w:type="dxa"/>
            <w:shd w:val="clear" w:color="auto" w:fill="auto"/>
          </w:tcPr>
          <w:p w:rsidR="00FE65C9" w:rsidRPr="00FE65C9" w:rsidRDefault="00FE65C9" w:rsidP="00090C65">
            <w:pPr>
              <w:pStyle w:val="NoSpacing"/>
              <w:jc w:val="both"/>
              <w:rPr>
                <w:rFonts w:ascii="Palatino Linotype" w:hAnsi="Palatino Linotype"/>
                <w:sz w:val="20"/>
                <w:szCs w:val="20"/>
              </w:rPr>
            </w:pPr>
            <w:r w:rsidRPr="00FE65C9">
              <w:rPr>
                <w:rFonts w:ascii="Palatino Linotype" w:hAnsi="Palatino Linotype"/>
                <w:sz w:val="20"/>
                <w:szCs w:val="20"/>
              </w:rPr>
              <w:t>Kitchen wares and daily needs</w:t>
            </w:r>
          </w:p>
        </w:tc>
        <w:tc>
          <w:tcPr>
            <w:tcW w:w="1421"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rPr>
              <w:t>Rice, Onion, chili, detergent and others</w:t>
            </w:r>
          </w:p>
        </w:tc>
        <w:tc>
          <w:tcPr>
            <w:tcW w:w="1097" w:type="dxa"/>
            <w:shd w:val="clear" w:color="auto" w:fill="auto"/>
          </w:tcPr>
          <w:p w:rsidR="00FE65C9" w:rsidRPr="00FE65C9" w:rsidRDefault="00FE65C9" w:rsidP="00090C65">
            <w:pPr>
              <w:pStyle w:val="NoSpacing"/>
              <w:jc w:val="right"/>
              <w:rPr>
                <w:rFonts w:ascii="Palatino Linotype" w:hAnsi="Palatino Linotype"/>
                <w:sz w:val="20"/>
                <w:szCs w:val="20"/>
              </w:rPr>
            </w:pPr>
            <w:r w:rsidRPr="00FE65C9">
              <w:rPr>
                <w:rFonts w:ascii="Palatino Linotype" w:hAnsi="Palatino Linotype"/>
                <w:sz w:val="20"/>
                <w:szCs w:val="20"/>
              </w:rPr>
              <w:t>300.000</w:t>
            </w:r>
          </w:p>
        </w:tc>
      </w:tr>
      <w:tr w:rsidR="00FE65C9" w:rsidRPr="00FE65C9" w:rsidTr="00090C65">
        <w:trPr>
          <w:jc w:val="center"/>
        </w:trPr>
        <w:tc>
          <w:tcPr>
            <w:tcW w:w="3050" w:type="dxa"/>
            <w:gridSpan w:val="2"/>
            <w:shd w:val="clear" w:color="auto" w:fill="auto"/>
          </w:tcPr>
          <w:p w:rsidR="00FE65C9" w:rsidRPr="00FE65C9" w:rsidRDefault="00FE65C9" w:rsidP="00090C65">
            <w:pPr>
              <w:pStyle w:val="NoSpacing"/>
              <w:jc w:val="both"/>
              <w:rPr>
                <w:rFonts w:ascii="Palatino Linotype" w:hAnsi="Palatino Linotype"/>
                <w:sz w:val="20"/>
                <w:szCs w:val="20"/>
              </w:rPr>
            </w:pPr>
            <w:r w:rsidRPr="00FE65C9">
              <w:rPr>
                <w:rFonts w:ascii="Palatino Linotype" w:hAnsi="Palatino Linotype"/>
                <w:b/>
                <w:sz w:val="20"/>
                <w:szCs w:val="20"/>
              </w:rPr>
              <w:t>TOTAL</w:t>
            </w:r>
          </w:p>
        </w:tc>
        <w:tc>
          <w:tcPr>
            <w:tcW w:w="1097" w:type="dxa"/>
            <w:shd w:val="clear" w:color="auto" w:fill="auto"/>
          </w:tcPr>
          <w:p w:rsidR="00FE65C9" w:rsidRPr="00FE65C9" w:rsidRDefault="00FE65C9" w:rsidP="00090C65">
            <w:pPr>
              <w:pStyle w:val="NoSpacing"/>
              <w:jc w:val="right"/>
              <w:rPr>
                <w:rFonts w:ascii="Palatino Linotype" w:hAnsi="Palatino Linotype"/>
                <w:sz w:val="20"/>
                <w:szCs w:val="20"/>
              </w:rPr>
            </w:pPr>
            <w:r w:rsidRPr="00FE65C9">
              <w:rPr>
                <w:rFonts w:ascii="Palatino Linotype" w:hAnsi="Palatino Linotype"/>
                <w:sz w:val="20"/>
                <w:szCs w:val="20"/>
              </w:rPr>
              <w:t>2.290.000</w:t>
            </w:r>
          </w:p>
        </w:tc>
      </w:tr>
    </w:tbl>
    <w:p w:rsidR="00FE65C9" w:rsidRPr="00FE65C9" w:rsidRDefault="00FE65C9" w:rsidP="00FE65C9">
      <w:pPr>
        <w:pStyle w:val="NoSpacing"/>
        <w:ind w:firstLine="720"/>
        <w:jc w:val="both"/>
        <w:rPr>
          <w:rFonts w:ascii="Palatino Linotype" w:hAnsi="Palatino Linotype"/>
          <w:sz w:val="20"/>
          <w:szCs w:val="20"/>
        </w:rPr>
      </w:pPr>
      <w:r w:rsidRPr="00FE65C9">
        <w:rPr>
          <w:rFonts w:ascii="Palatino Linotype" w:hAnsi="Palatino Linotype"/>
          <w:sz w:val="20"/>
          <w:szCs w:val="20"/>
        </w:rPr>
        <w:t xml:space="preserve">With the requirements set forth in table 7 above, how could a family survive with minimum income, Rp 2.3 million whereas the household expenses can reach up to Rp 2,290,000. This sometimes forces the wife to make money by doing extra job, like selling hand-make cakes, for example. But this is only a small part. If the family can’t afford, they have to reduce their monthly needs excluding in an emergency situation that also requires cost. </w:t>
      </w:r>
    </w:p>
    <w:p w:rsidR="00FE65C9" w:rsidRPr="00FE65C9" w:rsidRDefault="00FE65C9" w:rsidP="00FE65C9">
      <w:pPr>
        <w:pStyle w:val="NoSpacing"/>
        <w:rPr>
          <w:rFonts w:ascii="Palatino Linotype" w:hAnsi="Palatino Linotype"/>
          <w:b/>
          <w:sz w:val="20"/>
          <w:szCs w:val="20"/>
        </w:rPr>
      </w:pPr>
    </w:p>
    <w:p w:rsidR="00FE65C9" w:rsidRPr="00FE65C9" w:rsidRDefault="00FE65C9" w:rsidP="00FE65C9">
      <w:pPr>
        <w:pStyle w:val="NoSpacing"/>
        <w:jc w:val="center"/>
        <w:rPr>
          <w:rFonts w:ascii="Palatino Linotype" w:hAnsi="Palatino Linotype"/>
          <w:b/>
          <w:sz w:val="20"/>
          <w:szCs w:val="20"/>
        </w:rPr>
      </w:pPr>
      <w:r w:rsidRPr="00FE65C9">
        <w:rPr>
          <w:rFonts w:ascii="Palatino Linotype" w:hAnsi="Palatino Linotype"/>
          <w:b/>
          <w:sz w:val="20"/>
          <w:szCs w:val="20"/>
          <w:lang w:val="id-ID"/>
        </w:rPr>
        <w:t xml:space="preserve">Tabel 8. </w:t>
      </w:r>
      <w:r w:rsidRPr="00FE65C9">
        <w:rPr>
          <w:rFonts w:ascii="Palatino Linotype" w:hAnsi="Palatino Linotype"/>
          <w:sz w:val="20"/>
          <w:szCs w:val="20"/>
        </w:rPr>
        <w:t>Details of Household Expenditure after an Increase in Basic Tariff of Electricity price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1822"/>
        <w:gridCol w:w="1476"/>
      </w:tblGrid>
      <w:tr w:rsidR="00FE65C9" w:rsidRPr="00FE65C9" w:rsidTr="00090C65">
        <w:trPr>
          <w:jc w:val="center"/>
        </w:trPr>
        <w:tc>
          <w:tcPr>
            <w:tcW w:w="1470" w:type="dxa"/>
            <w:shd w:val="clear" w:color="auto" w:fill="auto"/>
          </w:tcPr>
          <w:p w:rsidR="00FE65C9" w:rsidRPr="00FE65C9" w:rsidRDefault="00FE65C9" w:rsidP="00090C65">
            <w:pPr>
              <w:pStyle w:val="NoSpacing"/>
              <w:jc w:val="both"/>
              <w:rPr>
                <w:rFonts w:ascii="Palatino Linotype" w:hAnsi="Palatino Linotype"/>
                <w:b/>
                <w:sz w:val="20"/>
                <w:szCs w:val="20"/>
              </w:rPr>
            </w:pPr>
            <w:r w:rsidRPr="00FE65C9">
              <w:rPr>
                <w:rFonts w:ascii="Palatino Linotype" w:hAnsi="Palatino Linotype"/>
                <w:b/>
                <w:sz w:val="20"/>
                <w:szCs w:val="20"/>
              </w:rPr>
              <w:t xml:space="preserve">Item </w:t>
            </w:r>
          </w:p>
        </w:tc>
        <w:tc>
          <w:tcPr>
            <w:tcW w:w="1822" w:type="dxa"/>
            <w:shd w:val="clear" w:color="auto" w:fill="auto"/>
          </w:tcPr>
          <w:p w:rsidR="00FE65C9" w:rsidRPr="00FE65C9" w:rsidRDefault="00FE65C9" w:rsidP="00090C65">
            <w:pPr>
              <w:pStyle w:val="NoSpacing"/>
              <w:jc w:val="both"/>
              <w:rPr>
                <w:rFonts w:ascii="Palatino Linotype" w:hAnsi="Palatino Linotype"/>
                <w:b/>
                <w:sz w:val="20"/>
                <w:szCs w:val="20"/>
              </w:rPr>
            </w:pPr>
            <w:r w:rsidRPr="00FE65C9">
              <w:rPr>
                <w:rFonts w:ascii="Palatino Linotype" w:hAnsi="Palatino Linotype"/>
                <w:b/>
                <w:sz w:val="20"/>
                <w:szCs w:val="20"/>
              </w:rPr>
              <w:t>Descriptions</w:t>
            </w:r>
          </w:p>
        </w:tc>
        <w:tc>
          <w:tcPr>
            <w:tcW w:w="1476" w:type="dxa"/>
            <w:shd w:val="clear" w:color="auto" w:fill="auto"/>
          </w:tcPr>
          <w:p w:rsidR="00FE65C9" w:rsidRPr="00FE65C9" w:rsidRDefault="00FE65C9" w:rsidP="00090C65">
            <w:pPr>
              <w:pStyle w:val="NoSpacing"/>
              <w:jc w:val="both"/>
              <w:rPr>
                <w:rFonts w:ascii="Palatino Linotype" w:hAnsi="Palatino Linotype"/>
                <w:b/>
                <w:sz w:val="20"/>
                <w:szCs w:val="20"/>
                <w:lang w:val="id-ID"/>
              </w:rPr>
            </w:pPr>
            <w:r w:rsidRPr="00FE65C9">
              <w:rPr>
                <w:rFonts w:ascii="Palatino Linotype" w:hAnsi="Palatino Linotype"/>
                <w:b/>
                <w:sz w:val="20"/>
                <w:szCs w:val="20"/>
              </w:rPr>
              <w:t xml:space="preserve">Amount </w:t>
            </w:r>
            <w:r w:rsidRPr="00FE65C9">
              <w:rPr>
                <w:rFonts w:ascii="Palatino Linotype" w:hAnsi="Palatino Linotype"/>
                <w:b/>
                <w:sz w:val="20"/>
                <w:szCs w:val="20"/>
                <w:lang w:val="id-ID"/>
              </w:rPr>
              <w:t>(Rp)</w:t>
            </w:r>
          </w:p>
        </w:tc>
      </w:tr>
      <w:tr w:rsidR="00FE65C9" w:rsidRPr="00FE65C9" w:rsidTr="00090C65">
        <w:trPr>
          <w:jc w:val="center"/>
        </w:trPr>
        <w:tc>
          <w:tcPr>
            <w:tcW w:w="1470"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rPr>
              <w:t>House rental</w:t>
            </w:r>
          </w:p>
        </w:tc>
        <w:tc>
          <w:tcPr>
            <w:tcW w:w="1822" w:type="dxa"/>
            <w:shd w:val="clear" w:color="auto" w:fill="auto"/>
          </w:tcPr>
          <w:p w:rsidR="00FE65C9" w:rsidRPr="00FE65C9" w:rsidRDefault="00FE65C9" w:rsidP="00090C65">
            <w:pPr>
              <w:pStyle w:val="NoSpacing"/>
              <w:jc w:val="both"/>
              <w:rPr>
                <w:rFonts w:ascii="Palatino Linotype" w:hAnsi="Palatino Linotype"/>
                <w:sz w:val="20"/>
                <w:szCs w:val="20"/>
              </w:rPr>
            </w:pPr>
            <w:r w:rsidRPr="00FE65C9">
              <w:rPr>
                <w:rFonts w:ascii="Palatino Linotype" w:hAnsi="Palatino Linotype"/>
                <w:sz w:val="20"/>
                <w:szCs w:val="20"/>
                <w:lang w:val="id-ID"/>
              </w:rPr>
              <w:t xml:space="preserve">1 </w:t>
            </w:r>
            <w:r w:rsidRPr="00FE65C9">
              <w:rPr>
                <w:rFonts w:ascii="Palatino Linotype" w:hAnsi="Palatino Linotype"/>
                <w:sz w:val="20"/>
                <w:szCs w:val="20"/>
              </w:rPr>
              <w:t>month</w:t>
            </w:r>
          </w:p>
        </w:tc>
        <w:tc>
          <w:tcPr>
            <w:tcW w:w="1476" w:type="dxa"/>
            <w:shd w:val="clear" w:color="auto" w:fill="auto"/>
          </w:tcPr>
          <w:p w:rsidR="00FE65C9" w:rsidRPr="00FE65C9" w:rsidRDefault="00FE65C9" w:rsidP="00090C65">
            <w:pPr>
              <w:pStyle w:val="NoSpacing"/>
              <w:jc w:val="right"/>
              <w:rPr>
                <w:rFonts w:ascii="Palatino Linotype" w:hAnsi="Palatino Linotype"/>
                <w:sz w:val="20"/>
                <w:szCs w:val="20"/>
                <w:lang w:val="id-ID"/>
              </w:rPr>
            </w:pPr>
            <w:r w:rsidRPr="00FE65C9">
              <w:rPr>
                <w:rFonts w:ascii="Palatino Linotype" w:hAnsi="Palatino Linotype"/>
                <w:sz w:val="20"/>
                <w:szCs w:val="20"/>
                <w:lang w:val="id-ID"/>
              </w:rPr>
              <w:t>400.000</w:t>
            </w:r>
          </w:p>
        </w:tc>
      </w:tr>
      <w:tr w:rsidR="00FE65C9" w:rsidRPr="00FE65C9" w:rsidTr="00090C65">
        <w:trPr>
          <w:jc w:val="center"/>
        </w:trPr>
        <w:tc>
          <w:tcPr>
            <w:tcW w:w="1470"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rPr>
              <w:t>Electricity bill</w:t>
            </w:r>
          </w:p>
        </w:tc>
        <w:tc>
          <w:tcPr>
            <w:tcW w:w="1822"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lang w:val="id-ID"/>
              </w:rPr>
              <w:t>1 bulan</w:t>
            </w:r>
          </w:p>
        </w:tc>
        <w:tc>
          <w:tcPr>
            <w:tcW w:w="1476" w:type="dxa"/>
            <w:shd w:val="clear" w:color="auto" w:fill="auto"/>
          </w:tcPr>
          <w:p w:rsidR="00FE65C9" w:rsidRPr="00FE65C9" w:rsidRDefault="00FE65C9" w:rsidP="00090C65">
            <w:pPr>
              <w:pStyle w:val="NoSpacing"/>
              <w:jc w:val="right"/>
              <w:rPr>
                <w:rFonts w:ascii="Palatino Linotype" w:hAnsi="Palatino Linotype"/>
                <w:sz w:val="20"/>
                <w:szCs w:val="20"/>
              </w:rPr>
            </w:pPr>
            <w:r w:rsidRPr="00FE65C9">
              <w:rPr>
                <w:rFonts w:ascii="Palatino Linotype" w:hAnsi="Palatino Linotype"/>
                <w:sz w:val="20"/>
                <w:szCs w:val="20"/>
              </w:rPr>
              <w:t>300.000</w:t>
            </w:r>
          </w:p>
        </w:tc>
      </w:tr>
      <w:tr w:rsidR="00FE65C9" w:rsidRPr="00FE65C9" w:rsidTr="00090C65">
        <w:trPr>
          <w:jc w:val="center"/>
        </w:trPr>
        <w:tc>
          <w:tcPr>
            <w:tcW w:w="1470"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rPr>
              <w:t>Daily meal</w:t>
            </w:r>
          </w:p>
        </w:tc>
        <w:tc>
          <w:tcPr>
            <w:tcW w:w="1822"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rPr>
              <w:t>3 times a day @ Rp 30.000</w:t>
            </w:r>
          </w:p>
        </w:tc>
        <w:tc>
          <w:tcPr>
            <w:tcW w:w="1476" w:type="dxa"/>
            <w:shd w:val="clear" w:color="auto" w:fill="auto"/>
          </w:tcPr>
          <w:p w:rsidR="00FE65C9" w:rsidRPr="00FE65C9" w:rsidRDefault="00FE65C9" w:rsidP="00090C65">
            <w:pPr>
              <w:pStyle w:val="NoSpacing"/>
              <w:jc w:val="right"/>
              <w:rPr>
                <w:rFonts w:ascii="Palatino Linotype" w:hAnsi="Palatino Linotype"/>
                <w:sz w:val="20"/>
                <w:szCs w:val="20"/>
              </w:rPr>
            </w:pPr>
            <w:r w:rsidRPr="00FE65C9">
              <w:rPr>
                <w:rFonts w:ascii="Palatino Linotype" w:hAnsi="Palatino Linotype"/>
                <w:sz w:val="20"/>
                <w:szCs w:val="20"/>
              </w:rPr>
              <w:t>900.000</w:t>
            </w:r>
          </w:p>
        </w:tc>
      </w:tr>
      <w:tr w:rsidR="00FE65C9" w:rsidRPr="00FE65C9" w:rsidTr="00090C65">
        <w:trPr>
          <w:jc w:val="center"/>
        </w:trPr>
        <w:tc>
          <w:tcPr>
            <w:tcW w:w="1470" w:type="dxa"/>
            <w:shd w:val="clear" w:color="auto" w:fill="auto"/>
          </w:tcPr>
          <w:p w:rsidR="00FE65C9" w:rsidRPr="00FE65C9" w:rsidRDefault="00FE65C9" w:rsidP="00090C65">
            <w:pPr>
              <w:pStyle w:val="NoSpacing"/>
              <w:jc w:val="both"/>
              <w:rPr>
                <w:rFonts w:ascii="Palatino Linotype" w:hAnsi="Palatino Linotype"/>
                <w:sz w:val="20"/>
                <w:szCs w:val="20"/>
              </w:rPr>
            </w:pPr>
            <w:r w:rsidRPr="00FE65C9">
              <w:rPr>
                <w:rFonts w:ascii="Palatino Linotype" w:hAnsi="Palatino Linotype"/>
                <w:sz w:val="20"/>
                <w:szCs w:val="20"/>
              </w:rPr>
              <w:t>Cellular cost</w:t>
            </w:r>
          </w:p>
        </w:tc>
        <w:tc>
          <w:tcPr>
            <w:tcW w:w="1822" w:type="dxa"/>
            <w:shd w:val="clear" w:color="auto" w:fill="auto"/>
          </w:tcPr>
          <w:p w:rsidR="00FE65C9" w:rsidRPr="00FE65C9" w:rsidRDefault="00FE65C9" w:rsidP="00090C65">
            <w:pPr>
              <w:pStyle w:val="NoSpacing"/>
              <w:jc w:val="both"/>
              <w:rPr>
                <w:rFonts w:ascii="Palatino Linotype" w:hAnsi="Palatino Linotype"/>
                <w:sz w:val="20"/>
                <w:szCs w:val="20"/>
              </w:rPr>
            </w:pPr>
            <w:r w:rsidRPr="00FE65C9">
              <w:rPr>
                <w:rFonts w:ascii="Palatino Linotype" w:hAnsi="Palatino Linotype"/>
                <w:sz w:val="20"/>
                <w:szCs w:val="20"/>
                <w:lang w:val="id-ID"/>
              </w:rPr>
              <w:t xml:space="preserve">1 </w:t>
            </w:r>
            <w:r w:rsidRPr="00FE65C9">
              <w:rPr>
                <w:rFonts w:ascii="Palatino Linotype" w:hAnsi="Palatino Linotype"/>
                <w:sz w:val="20"/>
                <w:szCs w:val="20"/>
              </w:rPr>
              <w:t>month</w:t>
            </w:r>
          </w:p>
        </w:tc>
        <w:tc>
          <w:tcPr>
            <w:tcW w:w="1476" w:type="dxa"/>
            <w:shd w:val="clear" w:color="auto" w:fill="auto"/>
          </w:tcPr>
          <w:p w:rsidR="00FE65C9" w:rsidRPr="00FE65C9" w:rsidRDefault="00FE65C9" w:rsidP="00090C65">
            <w:pPr>
              <w:pStyle w:val="NoSpacing"/>
              <w:jc w:val="right"/>
              <w:rPr>
                <w:rFonts w:ascii="Palatino Linotype" w:hAnsi="Palatino Linotype"/>
                <w:sz w:val="20"/>
                <w:szCs w:val="20"/>
              </w:rPr>
            </w:pPr>
            <w:r w:rsidRPr="00FE65C9">
              <w:rPr>
                <w:rFonts w:ascii="Palatino Linotype" w:hAnsi="Palatino Linotype"/>
                <w:sz w:val="20"/>
                <w:szCs w:val="20"/>
              </w:rPr>
              <w:t>100.000</w:t>
            </w:r>
          </w:p>
        </w:tc>
      </w:tr>
      <w:tr w:rsidR="00FE65C9" w:rsidRPr="00FE65C9" w:rsidTr="00090C65">
        <w:trPr>
          <w:jc w:val="center"/>
        </w:trPr>
        <w:tc>
          <w:tcPr>
            <w:tcW w:w="1470"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rPr>
              <w:t>Transportation</w:t>
            </w:r>
          </w:p>
        </w:tc>
        <w:tc>
          <w:tcPr>
            <w:tcW w:w="1822"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rPr>
              <w:t>20 working days @ Rp 10,000</w:t>
            </w:r>
          </w:p>
        </w:tc>
        <w:tc>
          <w:tcPr>
            <w:tcW w:w="1476" w:type="dxa"/>
            <w:shd w:val="clear" w:color="auto" w:fill="auto"/>
          </w:tcPr>
          <w:p w:rsidR="00FE65C9" w:rsidRPr="00FE65C9" w:rsidRDefault="00FE65C9" w:rsidP="00090C65">
            <w:pPr>
              <w:pStyle w:val="NoSpacing"/>
              <w:jc w:val="right"/>
              <w:rPr>
                <w:rFonts w:ascii="Palatino Linotype" w:hAnsi="Palatino Linotype"/>
                <w:sz w:val="20"/>
                <w:szCs w:val="20"/>
              </w:rPr>
            </w:pPr>
            <w:r w:rsidRPr="00FE65C9">
              <w:rPr>
                <w:rFonts w:ascii="Palatino Linotype" w:hAnsi="Palatino Linotype"/>
                <w:sz w:val="20"/>
                <w:szCs w:val="20"/>
              </w:rPr>
              <w:t>200.000</w:t>
            </w:r>
          </w:p>
        </w:tc>
      </w:tr>
      <w:tr w:rsidR="00FE65C9" w:rsidRPr="00FE65C9" w:rsidTr="00090C65">
        <w:trPr>
          <w:jc w:val="center"/>
        </w:trPr>
        <w:tc>
          <w:tcPr>
            <w:tcW w:w="1470" w:type="dxa"/>
            <w:shd w:val="clear" w:color="auto" w:fill="auto"/>
          </w:tcPr>
          <w:p w:rsidR="00FE65C9" w:rsidRPr="00FE65C9" w:rsidRDefault="00FE65C9" w:rsidP="00090C65">
            <w:pPr>
              <w:pStyle w:val="NoSpacing"/>
              <w:jc w:val="both"/>
              <w:rPr>
                <w:rFonts w:ascii="Palatino Linotype" w:hAnsi="Palatino Linotype"/>
                <w:sz w:val="20"/>
                <w:szCs w:val="20"/>
              </w:rPr>
            </w:pPr>
            <w:r w:rsidRPr="00FE65C9">
              <w:rPr>
                <w:rFonts w:ascii="Palatino Linotype" w:hAnsi="Palatino Linotype"/>
                <w:sz w:val="20"/>
                <w:szCs w:val="20"/>
              </w:rPr>
              <w:t>Kids’ allowance</w:t>
            </w:r>
          </w:p>
        </w:tc>
        <w:tc>
          <w:tcPr>
            <w:tcW w:w="1822"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rPr>
              <w:t>24-day school children @Rp 5,000 x 2 kids</w:t>
            </w:r>
          </w:p>
        </w:tc>
        <w:tc>
          <w:tcPr>
            <w:tcW w:w="1476" w:type="dxa"/>
            <w:shd w:val="clear" w:color="auto" w:fill="auto"/>
          </w:tcPr>
          <w:p w:rsidR="00FE65C9" w:rsidRPr="00FE65C9" w:rsidRDefault="00FE65C9" w:rsidP="00090C65">
            <w:pPr>
              <w:pStyle w:val="NoSpacing"/>
              <w:jc w:val="right"/>
              <w:rPr>
                <w:rFonts w:ascii="Palatino Linotype" w:hAnsi="Palatino Linotype"/>
                <w:sz w:val="20"/>
                <w:szCs w:val="20"/>
              </w:rPr>
            </w:pPr>
            <w:r w:rsidRPr="00FE65C9">
              <w:rPr>
                <w:rFonts w:ascii="Palatino Linotype" w:hAnsi="Palatino Linotype"/>
                <w:sz w:val="20"/>
                <w:szCs w:val="20"/>
              </w:rPr>
              <w:t>240.000</w:t>
            </w:r>
          </w:p>
        </w:tc>
      </w:tr>
      <w:tr w:rsidR="00FE65C9" w:rsidRPr="00FE65C9" w:rsidTr="00090C65">
        <w:trPr>
          <w:jc w:val="center"/>
        </w:trPr>
        <w:tc>
          <w:tcPr>
            <w:tcW w:w="1470" w:type="dxa"/>
            <w:shd w:val="clear" w:color="auto" w:fill="auto"/>
          </w:tcPr>
          <w:p w:rsidR="00FE65C9" w:rsidRPr="00FE65C9" w:rsidRDefault="00FE65C9" w:rsidP="00090C65">
            <w:pPr>
              <w:pStyle w:val="NoSpacing"/>
              <w:jc w:val="both"/>
              <w:rPr>
                <w:rFonts w:ascii="Palatino Linotype" w:hAnsi="Palatino Linotype"/>
                <w:sz w:val="20"/>
                <w:szCs w:val="20"/>
              </w:rPr>
            </w:pPr>
            <w:r w:rsidRPr="00FE65C9">
              <w:rPr>
                <w:rFonts w:ascii="Palatino Linotype" w:hAnsi="Palatino Linotype"/>
                <w:sz w:val="20"/>
                <w:szCs w:val="20"/>
              </w:rPr>
              <w:t>Kitchen wares and daily needs</w:t>
            </w:r>
          </w:p>
        </w:tc>
        <w:tc>
          <w:tcPr>
            <w:tcW w:w="1822" w:type="dxa"/>
            <w:shd w:val="clear" w:color="auto" w:fill="auto"/>
          </w:tcPr>
          <w:p w:rsidR="00FE65C9" w:rsidRPr="00FE65C9" w:rsidRDefault="00FE65C9" w:rsidP="00090C65">
            <w:pPr>
              <w:pStyle w:val="NoSpacing"/>
              <w:jc w:val="both"/>
              <w:rPr>
                <w:rFonts w:ascii="Palatino Linotype" w:hAnsi="Palatino Linotype"/>
                <w:sz w:val="20"/>
                <w:szCs w:val="20"/>
                <w:lang w:val="id-ID"/>
              </w:rPr>
            </w:pPr>
            <w:r w:rsidRPr="00FE65C9">
              <w:rPr>
                <w:rFonts w:ascii="Palatino Linotype" w:hAnsi="Palatino Linotype"/>
                <w:sz w:val="20"/>
                <w:szCs w:val="20"/>
              </w:rPr>
              <w:t>Rice, Onion, chili, detergent and others</w:t>
            </w:r>
          </w:p>
        </w:tc>
        <w:tc>
          <w:tcPr>
            <w:tcW w:w="1476" w:type="dxa"/>
            <w:shd w:val="clear" w:color="auto" w:fill="auto"/>
          </w:tcPr>
          <w:p w:rsidR="00FE65C9" w:rsidRPr="00FE65C9" w:rsidRDefault="00FE65C9" w:rsidP="00090C65">
            <w:pPr>
              <w:pStyle w:val="NoSpacing"/>
              <w:jc w:val="right"/>
              <w:rPr>
                <w:rFonts w:ascii="Palatino Linotype" w:hAnsi="Palatino Linotype"/>
                <w:sz w:val="20"/>
                <w:szCs w:val="20"/>
              </w:rPr>
            </w:pPr>
            <w:r w:rsidRPr="00FE65C9">
              <w:rPr>
                <w:rFonts w:ascii="Palatino Linotype" w:hAnsi="Palatino Linotype"/>
                <w:sz w:val="20"/>
                <w:szCs w:val="20"/>
              </w:rPr>
              <w:t>350.000</w:t>
            </w:r>
          </w:p>
        </w:tc>
      </w:tr>
      <w:tr w:rsidR="00FE65C9" w:rsidRPr="00FE65C9" w:rsidTr="00090C65">
        <w:trPr>
          <w:jc w:val="center"/>
        </w:trPr>
        <w:tc>
          <w:tcPr>
            <w:tcW w:w="3292" w:type="dxa"/>
            <w:gridSpan w:val="2"/>
            <w:shd w:val="clear" w:color="auto" w:fill="auto"/>
          </w:tcPr>
          <w:p w:rsidR="00FE65C9" w:rsidRPr="00FE65C9" w:rsidRDefault="00FE65C9" w:rsidP="00090C65">
            <w:pPr>
              <w:pStyle w:val="NoSpacing"/>
              <w:jc w:val="both"/>
              <w:rPr>
                <w:rFonts w:ascii="Palatino Linotype" w:hAnsi="Palatino Linotype"/>
                <w:sz w:val="20"/>
                <w:szCs w:val="20"/>
              </w:rPr>
            </w:pPr>
            <w:r w:rsidRPr="00FE65C9">
              <w:rPr>
                <w:rFonts w:ascii="Palatino Linotype" w:hAnsi="Palatino Linotype"/>
                <w:b/>
                <w:sz w:val="20"/>
                <w:szCs w:val="20"/>
              </w:rPr>
              <w:t>TOTAL</w:t>
            </w:r>
          </w:p>
        </w:tc>
        <w:tc>
          <w:tcPr>
            <w:tcW w:w="1476" w:type="dxa"/>
            <w:shd w:val="clear" w:color="auto" w:fill="auto"/>
          </w:tcPr>
          <w:p w:rsidR="00FE65C9" w:rsidRPr="00FE65C9" w:rsidRDefault="00FE65C9" w:rsidP="00090C65">
            <w:pPr>
              <w:pStyle w:val="NoSpacing"/>
              <w:jc w:val="right"/>
              <w:rPr>
                <w:rFonts w:ascii="Palatino Linotype" w:hAnsi="Palatino Linotype"/>
                <w:sz w:val="20"/>
                <w:szCs w:val="20"/>
              </w:rPr>
            </w:pPr>
            <w:r w:rsidRPr="00FE65C9">
              <w:rPr>
                <w:rFonts w:ascii="Palatino Linotype" w:hAnsi="Palatino Linotype"/>
                <w:sz w:val="20"/>
                <w:szCs w:val="20"/>
              </w:rPr>
              <w:t>2.490.000</w:t>
            </w:r>
          </w:p>
        </w:tc>
      </w:tr>
    </w:tbl>
    <w:p w:rsidR="000D4639" w:rsidRDefault="000D4639" w:rsidP="00FE65C9">
      <w:pPr>
        <w:pStyle w:val="NoSpacing"/>
        <w:ind w:firstLine="709"/>
        <w:jc w:val="both"/>
        <w:rPr>
          <w:rFonts w:ascii="Palatino Linotype" w:hAnsi="Palatino Linotype"/>
          <w:sz w:val="20"/>
          <w:szCs w:val="20"/>
        </w:rPr>
      </w:pPr>
    </w:p>
    <w:p w:rsidR="00FE65C9" w:rsidRPr="00FE65C9" w:rsidRDefault="00FE65C9" w:rsidP="00FE65C9">
      <w:pPr>
        <w:pStyle w:val="NoSpacing"/>
        <w:ind w:firstLine="709"/>
        <w:jc w:val="both"/>
        <w:rPr>
          <w:rFonts w:ascii="Palatino Linotype" w:hAnsi="Palatino Linotype"/>
          <w:sz w:val="20"/>
          <w:szCs w:val="20"/>
          <w:lang w:val="id-ID"/>
        </w:rPr>
      </w:pPr>
      <w:r w:rsidRPr="00FE65C9">
        <w:rPr>
          <w:rFonts w:ascii="Palatino Linotype" w:hAnsi="Palatino Linotype"/>
          <w:sz w:val="20"/>
          <w:szCs w:val="20"/>
        </w:rPr>
        <w:t>In table 8 with an average basic tariff (TDL) increase of Rp 150,000 for electricity capacity of 900 VA, then the former household expenditure for electricity amounted to Rp 150,000 to Rp 300,000 after the increase in TDL. Income is still Rp 2,300,000 while expenses increase to Rp 2,490,000 after the increase of TDL. If by simple logic it is impossible to live with greater expenditure than income, but that is the smartness of those who are in simple life to respond to expenses. But the truth is not what it should be done because the welfare of the community that needs to be considered.</w:t>
      </w:r>
      <w:r w:rsidRPr="00FE65C9">
        <w:rPr>
          <w:rFonts w:ascii="Palatino Linotype" w:hAnsi="Palatino Linotype"/>
          <w:sz w:val="20"/>
          <w:szCs w:val="20"/>
          <w:lang w:val="id-ID"/>
        </w:rPr>
        <w:t xml:space="preserve"> </w:t>
      </w:r>
      <w:r w:rsidRPr="00FE65C9">
        <w:rPr>
          <w:rFonts w:ascii="Palatino Linotype" w:hAnsi="Palatino Linotype"/>
          <w:sz w:val="20"/>
          <w:szCs w:val="20"/>
        </w:rPr>
        <w:t>Golgher (2016) in her research found that the household was set according to the needs and budget better for the rest of the consumption function for non-consumption expenditures including paying bills</w:t>
      </w:r>
      <w:r w:rsidRPr="00FE65C9">
        <w:rPr>
          <w:rFonts w:ascii="Palatino Linotype" w:hAnsi="Palatino Linotype"/>
          <w:sz w:val="20"/>
          <w:szCs w:val="20"/>
          <w:lang w:val="id-ID"/>
        </w:rPr>
        <w:t xml:space="preserve">. </w:t>
      </w:r>
    </w:p>
    <w:p w:rsidR="00FE65C9" w:rsidRPr="00FE65C9" w:rsidRDefault="00FE65C9" w:rsidP="00FE65C9">
      <w:pPr>
        <w:pStyle w:val="NoSpacing"/>
        <w:ind w:firstLine="709"/>
        <w:jc w:val="both"/>
        <w:rPr>
          <w:rFonts w:ascii="Palatino Linotype" w:hAnsi="Palatino Linotype"/>
          <w:sz w:val="20"/>
          <w:szCs w:val="20"/>
          <w:lang w:val="id-ID"/>
        </w:rPr>
      </w:pPr>
      <w:r w:rsidRPr="00FE65C9">
        <w:rPr>
          <w:rFonts w:ascii="Palatino Linotype" w:hAnsi="Palatino Linotype"/>
          <w:sz w:val="20"/>
          <w:szCs w:val="20"/>
        </w:rPr>
        <w:t>Ntsalaze (2017) stated that the household is vulnerable to debt when they could not meet their financial needs, therefore all non-essential spending will be minimized. According to Obben (2011) that increased household spending will automatically reduce your ability to save money. Dong (2012) mentioned that the household with too much credit will tend to have lower productivity than those who are not. Sulistiawati (2012) states that those who have low productivity are very susceptible to be exposed to any termination of employment relationships (LAYOFFS)</w:t>
      </w:r>
      <w:r w:rsidRPr="00FE65C9">
        <w:rPr>
          <w:rFonts w:ascii="Palatino Linotype" w:hAnsi="Palatino Linotype"/>
          <w:sz w:val="20"/>
          <w:szCs w:val="20"/>
          <w:lang w:val="id-ID"/>
        </w:rPr>
        <w:t>.</w:t>
      </w:r>
    </w:p>
    <w:p w:rsidR="00FE65C9" w:rsidRPr="00FE65C9" w:rsidRDefault="00FE65C9" w:rsidP="00FE65C9">
      <w:pPr>
        <w:pStyle w:val="NoSpacing"/>
        <w:ind w:firstLine="720"/>
        <w:jc w:val="both"/>
        <w:rPr>
          <w:rFonts w:ascii="Palatino Linotype" w:hAnsi="Palatino Linotype"/>
          <w:sz w:val="20"/>
          <w:szCs w:val="20"/>
          <w:lang w:val="id-ID"/>
        </w:rPr>
      </w:pPr>
      <w:r w:rsidRPr="00FE65C9">
        <w:rPr>
          <w:rFonts w:ascii="Palatino Linotype" w:hAnsi="Palatino Linotype"/>
          <w:sz w:val="20"/>
          <w:szCs w:val="20"/>
        </w:rPr>
        <w:t xml:space="preserve">For electric capacities of 1200 VA and above 1200 VA which have also increased did not influence much t because those who use it are people whose income or salary is above Rp 2.300.000. Their electricity bill ranges from Rp 600,000 to Rp 1,000,000 Per month. Surely those who choose to </w:t>
      </w:r>
      <w:r w:rsidRPr="00FE65C9">
        <w:rPr>
          <w:rFonts w:ascii="Palatino Linotype" w:hAnsi="Palatino Linotype"/>
          <w:sz w:val="20"/>
          <w:szCs w:val="20"/>
        </w:rPr>
        <w:lastRenderedPageBreak/>
        <w:t>use 1200 VA electricity  are classified as affordable family, thus the increase does not matter the family expenses.</w:t>
      </w:r>
    </w:p>
    <w:p w:rsidR="00FE65C9" w:rsidRPr="00FE65C9" w:rsidRDefault="00FE65C9" w:rsidP="00FE65C9">
      <w:pPr>
        <w:pStyle w:val="NoSpacing"/>
        <w:ind w:firstLine="720"/>
        <w:jc w:val="both"/>
        <w:rPr>
          <w:rFonts w:ascii="Palatino Linotype" w:hAnsi="Palatino Linotype"/>
          <w:sz w:val="20"/>
          <w:szCs w:val="20"/>
          <w:lang w:val="id-ID"/>
        </w:rPr>
      </w:pPr>
      <w:r w:rsidRPr="00FE65C9">
        <w:rPr>
          <w:rFonts w:ascii="Palatino Linotype" w:hAnsi="Palatino Linotype"/>
          <w:sz w:val="20"/>
          <w:szCs w:val="20"/>
        </w:rPr>
        <w:t>For those who use 900 VA power will certainly feel very heavy with the increase because of the economic conditions prior to the rise in tariff (TDL) has been burdensome, let alone with the rise in basic tariff (TDL), The increase of Rp 150,000 has been a big burden for family with low incomes or according to minimum wage.</w:t>
      </w:r>
    </w:p>
    <w:p w:rsidR="00FE65C9" w:rsidRPr="00FE65C9" w:rsidRDefault="00FE65C9" w:rsidP="00FE65C9">
      <w:pPr>
        <w:pStyle w:val="NoSpacing"/>
        <w:ind w:firstLine="720"/>
        <w:jc w:val="both"/>
        <w:rPr>
          <w:rFonts w:ascii="Palatino Linotype" w:hAnsi="Palatino Linotype"/>
          <w:sz w:val="20"/>
          <w:szCs w:val="20"/>
          <w:lang w:val="id-ID"/>
        </w:rPr>
      </w:pPr>
    </w:p>
    <w:p w:rsidR="00FE65C9" w:rsidRPr="00FE65C9" w:rsidRDefault="00FE65C9" w:rsidP="00FE65C9">
      <w:pPr>
        <w:pStyle w:val="NoSpacing"/>
        <w:jc w:val="both"/>
        <w:rPr>
          <w:rFonts w:ascii="Palatino Linotype" w:hAnsi="Palatino Linotype"/>
          <w:b/>
          <w:sz w:val="20"/>
          <w:szCs w:val="20"/>
          <w:lang w:val="id-ID"/>
        </w:rPr>
      </w:pPr>
      <w:r w:rsidRPr="00FE65C9">
        <w:rPr>
          <w:rFonts w:ascii="Palatino Linotype" w:hAnsi="Palatino Linotype"/>
          <w:b/>
          <w:sz w:val="20"/>
          <w:szCs w:val="20"/>
        </w:rPr>
        <w:t xml:space="preserve">Industrial Electricity tariff increase </w:t>
      </w:r>
    </w:p>
    <w:p w:rsidR="00FE65C9" w:rsidRPr="00FE65C9" w:rsidRDefault="00FE65C9" w:rsidP="00FE65C9">
      <w:pPr>
        <w:pStyle w:val="NoSpacing"/>
        <w:ind w:firstLine="720"/>
        <w:jc w:val="both"/>
        <w:rPr>
          <w:rFonts w:ascii="Palatino Linotype" w:hAnsi="Palatino Linotype"/>
          <w:sz w:val="20"/>
          <w:szCs w:val="20"/>
        </w:rPr>
      </w:pPr>
      <w:r w:rsidRPr="00FE65C9">
        <w:rPr>
          <w:rFonts w:ascii="Palatino Linotype" w:hAnsi="Palatino Linotype"/>
          <w:sz w:val="20"/>
          <w:szCs w:val="20"/>
        </w:rPr>
        <w:t>Ministry of industry calculates there are at least 400 companies that will be affected by the basic electric rate increase. Ms. Hidayat, Minister of industry concerned, the increase in electricity rates that hit hundreds of industries could inhibit the growth of the industrial sector.</w:t>
      </w:r>
    </w:p>
    <w:p w:rsidR="00FE65C9" w:rsidRPr="00FE65C9" w:rsidRDefault="00FE65C9" w:rsidP="00FE65C9">
      <w:pPr>
        <w:pStyle w:val="NoSpacing"/>
        <w:ind w:firstLine="720"/>
        <w:jc w:val="both"/>
        <w:rPr>
          <w:rFonts w:ascii="Palatino Linotype" w:hAnsi="Palatino Linotype"/>
          <w:sz w:val="20"/>
          <w:szCs w:val="20"/>
          <w:lang w:val="id-ID"/>
        </w:rPr>
      </w:pPr>
      <w:r w:rsidRPr="00FE65C9">
        <w:rPr>
          <w:rFonts w:ascii="Palatino Linotype" w:hAnsi="Palatino Linotype"/>
          <w:sz w:val="20"/>
          <w:szCs w:val="20"/>
        </w:rPr>
        <w:t>According to Mulyati (2008), the electric base rate for the industry is influenced by three factors, namely the cost of capital, cost of operation and maintenance, and fuel costs. Higher electricity rates will make the burden of the cost of production of the more heavily. In addition, basic electricity rate increase could disrupt the company's cash flow. Whereas, on the one hand, the company should improve the competitiveness of production capacity and quality of goods to welcome the ASEAN Economic Community next year.</w:t>
      </w:r>
    </w:p>
    <w:p w:rsidR="00FE65C9" w:rsidRPr="00FE65C9" w:rsidRDefault="00FE65C9" w:rsidP="00FE65C9">
      <w:pPr>
        <w:pStyle w:val="NoSpacing"/>
        <w:ind w:firstLine="720"/>
        <w:jc w:val="both"/>
        <w:rPr>
          <w:rFonts w:ascii="Palatino Linotype" w:hAnsi="Palatino Linotype"/>
          <w:sz w:val="20"/>
          <w:szCs w:val="20"/>
          <w:lang w:val="id-ID"/>
        </w:rPr>
      </w:pPr>
      <w:r w:rsidRPr="00FE65C9">
        <w:rPr>
          <w:rFonts w:ascii="Palatino Linotype" w:hAnsi="Palatino Linotype"/>
          <w:sz w:val="20"/>
          <w:szCs w:val="20"/>
        </w:rPr>
        <w:t>This year, 2017, minister of industry is targeting the growth of oil and gas industry by 6.4% from a year ago. Some industries like basic metal industries of iron and steel, industrial tools, machinery and transport equipment, as well as the textile industry, leather goods and footwear are estimated to be a motor mover manufacturing industry. Among the industrial sectors, the industry using electricity are steel and textiles (kemenperin.go.id).</w:t>
      </w:r>
    </w:p>
    <w:p w:rsidR="00FE65C9" w:rsidRPr="00FE65C9" w:rsidRDefault="00FE65C9" w:rsidP="00FE65C9">
      <w:pPr>
        <w:pStyle w:val="NoSpacing"/>
        <w:ind w:firstLine="720"/>
        <w:jc w:val="both"/>
        <w:rPr>
          <w:rFonts w:ascii="Palatino Linotype" w:hAnsi="Palatino Linotype"/>
          <w:sz w:val="20"/>
          <w:szCs w:val="20"/>
          <w:lang w:val="id-ID"/>
        </w:rPr>
      </w:pPr>
      <w:r w:rsidRPr="00FE65C9">
        <w:rPr>
          <w:rFonts w:ascii="Palatino Linotype" w:hAnsi="Palatino Linotype"/>
          <w:sz w:val="20"/>
          <w:szCs w:val="20"/>
        </w:rPr>
        <w:t>Bank Indonesia (BI) estimates the price increase of electricity rates as a consequence of the rise of subsidies on electricity, 900 volt ampere (VA) and 450 VA and liquefied petroleum gas tariff increase, three kilogram (kg) contributes up to 1%. Perry Warjiyo, Governor Deputy of BI said, the total weight of administered prices against the national inflation is not too large, i.e. only reached 18%. BI estimates, without taking into account the increase in the electricity tariff base and petroleum gas (3 kg) and other policies administered by government, the national inflation in 2017 could reach 3.6%.</w:t>
      </w:r>
    </w:p>
    <w:p w:rsidR="00FE65C9" w:rsidRPr="00FE65C9" w:rsidRDefault="00FE65C9" w:rsidP="00FE65C9">
      <w:pPr>
        <w:pStyle w:val="NoSpacing"/>
        <w:ind w:firstLine="720"/>
        <w:jc w:val="both"/>
        <w:rPr>
          <w:rFonts w:ascii="Palatino Linotype" w:hAnsi="Palatino Linotype"/>
          <w:sz w:val="20"/>
          <w:szCs w:val="20"/>
        </w:rPr>
      </w:pPr>
      <w:r w:rsidRPr="00FE65C9">
        <w:rPr>
          <w:rFonts w:ascii="Palatino Linotype" w:hAnsi="Palatino Linotype"/>
          <w:sz w:val="20"/>
          <w:szCs w:val="20"/>
        </w:rPr>
        <w:t>It is known that in addition to the major industry there is also a cottage industry of production activities at home, surely they also affected the electricity rate increase induced drag. The high cost of industrial production will affect the selling price of the industrial product and if this happens then the feel of its impact is the purchasing power of households of the community. In addition industrial production ships also affected due to the increase in TDL (Nugroho, 201</w:t>
      </w:r>
      <w:r w:rsidRPr="00FE65C9">
        <w:rPr>
          <w:rFonts w:ascii="Palatino Linotype" w:hAnsi="Palatino Linotype"/>
          <w:sz w:val="20"/>
          <w:szCs w:val="20"/>
          <w:lang w:val="id-ID"/>
        </w:rPr>
        <w:t>1</w:t>
      </w:r>
      <w:r w:rsidRPr="00FE65C9">
        <w:rPr>
          <w:rFonts w:ascii="Palatino Linotype" w:hAnsi="Palatino Linotype"/>
          <w:sz w:val="20"/>
          <w:szCs w:val="20"/>
        </w:rPr>
        <w:t xml:space="preserve">). But the good news for the industry, household, using current and voltage sensor, can detect the consumption current and voltage on the load so that it can be directly read by the sensor. Thus the optimization of the installed power usage can be achieved to the maximum load and can be operated for business process well (Handajadi, 2015) </w:t>
      </w:r>
    </w:p>
    <w:p w:rsidR="00FE65C9" w:rsidRPr="00FE65C9" w:rsidRDefault="00FE65C9" w:rsidP="00FE65C9">
      <w:pPr>
        <w:pStyle w:val="NoSpacing"/>
        <w:jc w:val="both"/>
        <w:rPr>
          <w:rFonts w:ascii="Palatino Linotype" w:hAnsi="Palatino Linotype"/>
          <w:sz w:val="20"/>
          <w:szCs w:val="20"/>
        </w:rPr>
      </w:pPr>
    </w:p>
    <w:p w:rsidR="00FE65C9" w:rsidRPr="00FE65C9" w:rsidRDefault="00FE65C9" w:rsidP="00FE65C9">
      <w:pPr>
        <w:pStyle w:val="NoSpacing"/>
        <w:jc w:val="both"/>
        <w:rPr>
          <w:rFonts w:ascii="Palatino Linotype" w:hAnsi="Palatino Linotype"/>
          <w:b/>
          <w:sz w:val="20"/>
          <w:szCs w:val="20"/>
          <w:lang w:val="id-ID"/>
        </w:rPr>
      </w:pPr>
      <w:r w:rsidRPr="00FE65C9">
        <w:rPr>
          <w:rFonts w:ascii="Palatino Linotype" w:hAnsi="Palatino Linotype"/>
          <w:b/>
          <w:sz w:val="20"/>
          <w:szCs w:val="20"/>
        </w:rPr>
        <w:t>The Impact of Electricity Tariff Increase towards Households</w:t>
      </w:r>
    </w:p>
    <w:p w:rsidR="00FE65C9" w:rsidRPr="00FE65C9" w:rsidRDefault="00FE65C9" w:rsidP="00FE65C9">
      <w:pPr>
        <w:pStyle w:val="NoSpacing"/>
        <w:ind w:firstLine="720"/>
        <w:jc w:val="both"/>
        <w:rPr>
          <w:rFonts w:ascii="Palatino Linotype" w:hAnsi="Palatino Linotype"/>
          <w:sz w:val="20"/>
          <w:szCs w:val="20"/>
          <w:lang w:val="id-ID"/>
        </w:rPr>
      </w:pPr>
      <w:r w:rsidRPr="00FE65C9">
        <w:rPr>
          <w:rFonts w:ascii="Palatino Linotype" w:hAnsi="Palatino Linotype"/>
          <w:sz w:val="20"/>
          <w:szCs w:val="20"/>
        </w:rPr>
        <w:t>The revocation of nonsubsidized tariff will take place in three stages, first from 1 January 2017 to June 2017. "The increase in electricity tariff is indeed applied per period determined by the government based on economic prices,". Dermorejo (2003) states that an increase in electricity tariff could cause other sectors to increase especially in terms of basic needs. Patriadi (2005) states that the burden of non-fuel subsidies (including electricity subsidies) is relatively light compared to fuel subsidies, so it is not fundamental if the government reduces electricity subsidies for the community.</w:t>
      </w:r>
    </w:p>
    <w:p w:rsidR="00FE65C9" w:rsidRPr="00FE65C9" w:rsidRDefault="00FE65C9" w:rsidP="00FE65C9">
      <w:pPr>
        <w:pStyle w:val="NoSpacing"/>
        <w:ind w:firstLine="720"/>
        <w:jc w:val="both"/>
        <w:rPr>
          <w:rFonts w:ascii="Palatino Linotype" w:hAnsi="Palatino Linotype"/>
          <w:sz w:val="20"/>
          <w:szCs w:val="20"/>
          <w:lang w:val="id-ID"/>
        </w:rPr>
      </w:pPr>
      <w:r w:rsidRPr="00FE65C9">
        <w:rPr>
          <w:rFonts w:ascii="Palatino Linotype" w:hAnsi="Palatino Linotype"/>
          <w:sz w:val="20"/>
          <w:szCs w:val="20"/>
        </w:rPr>
        <w:t>450 watt power capacity have been extremely rare since most are already switched using a 900 watt capacity due to the rising needs of the household appliances such as a TV, a refrigerator, fan, rice cooker, Dispenser, Iron, air conditioning and washing machine. Therefore the electricity tariff policy of 900 watt capacity was granted since it will cause inflation.</w:t>
      </w:r>
    </w:p>
    <w:p w:rsidR="00FE65C9" w:rsidRPr="00FE65C9" w:rsidRDefault="00FE65C9" w:rsidP="00FE65C9">
      <w:pPr>
        <w:pStyle w:val="NoSpacing"/>
        <w:ind w:firstLine="720"/>
        <w:jc w:val="both"/>
        <w:rPr>
          <w:rFonts w:ascii="Palatino Linotype" w:hAnsi="Palatino Linotype"/>
          <w:sz w:val="20"/>
          <w:szCs w:val="20"/>
          <w:lang w:val="id-ID"/>
        </w:rPr>
      </w:pPr>
      <w:r w:rsidRPr="00FE65C9">
        <w:rPr>
          <w:rFonts w:ascii="Palatino Linotype" w:hAnsi="Palatino Linotype"/>
          <w:sz w:val="20"/>
          <w:szCs w:val="20"/>
        </w:rPr>
        <w:lastRenderedPageBreak/>
        <w:t>Krasniqi (2009) sets forth that home is an early phase to begin the process of entrepreneurships run by young generations. In case of basic electricity rate increase, it will affect the occurrence of increased operational costs. The average individual-run venture capital is sourced from personal funds (Hendrojogi, 2015)</w:t>
      </w:r>
    </w:p>
    <w:p w:rsidR="00FE65C9" w:rsidRPr="00FE65C9" w:rsidRDefault="00FE65C9" w:rsidP="00FE65C9">
      <w:pPr>
        <w:pStyle w:val="NoSpacing"/>
        <w:ind w:firstLine="720"/>
        <w:jc w:val="both"/>
        <w:rPr>
          <w:rFonts w:ascii="Palatino Linotype" w:hAnsi="Palatino Linotype"/>
          <w:sz w:val="20"/>
          <w:szCs w:val="20"/>
          <w:lang w:val="id-ID"/>
        </w:rPr>
      </w:pPr>
      <w:r w:rsidRPr="00FE65C9">
        <w:rPr>
          <w:rFonts w:ascii="Palatino Linotype" w:hAnsi="Palatino Linotype"/>
          <w:sz w:val="20"/>
          <w:szCs w:val="20"/>
        </w:rPr>
        <w:t>Not all home-based businesses have a huge turnover but they are doing business just to survive. How can businesses keep running amid rising operational costs due to the increase in home-based businesses, whereas TDL (basic tariff) is the solution to reduce unemployment problem. Then in order to establish permanent nature of employment, self-employment program should, then, be created (Jingan, 201</w:t>
      </w:r>
      <w:r w:rsidRPr="00FE65C9">
        <w:rPr>
          <w:rFonts w:ascii="Palatino Linotype" w:hAnsi="Palatino Linotype"/>
          <w:sz w:val="20"/>
          <w:szCs w:val="20"/>
          <w:lang w:val="id-ID"/>
        </w:rPr>
        <w:t>6</w:t>
      </w:r>
      <w:r w:rsidRPr="00FE65C9">
        <w:rPr>
          <w:rFonts w:ascii="Palatino Linotype" w:hAnsi="Palatino Linotype"/>
          <w:sz w:val="20"/>
          <w:szCs w:val="20"/>
        </w:rPr>
        <w:t>).</w:t>
      </w:r>
    </w:p>
    <w:p w:rsidR="00FE65C9" w:rsidRPr="00FE65C9" w:rsidRDefault="00FE65C9" w:rsidP="00FE65C9">
      <w:pPr>
        <w:pStyle w:val="NoSpacing"/>
        <w:jc w:val="both"/>
        <w:rPr>
          <w:rFonts w:ascii="Palatino Linotype" w:hAnsi="Palatino Linotype"/>
          <w:sz w:val="20"/>
          <w:szCs w:val="20"/>
          <w:lang w:val="id-ID"/>
        </w:rPr>
      </w:pPr>
      <w:r w:rsidRPr="00FE65C9">
        <w:rPr>
          <w:rFonts w:ascii="Palatino Linotype" w:hAnsi="Palatino Linotype"/>
          <w:sz w:val="20"/>
          <w:szCs w:val="20"/>
        </w:rPr>
        <w:t>Inflation becomes something frightening when the government raises electricity and fuel tariffs, sometimes the government conducts market operations to curb price fluctuations but do not let the government buy cheap rice to the public. Malian (200</w:t>
      </w:r>
      <w:r w:rsidRPr="00FE65C9">
        <w:rPr>
          <w:rFonts w:ascii="Palatino Linotype" w:hAnsi="Palatino Linotype"/>
          <w:sz w:val="20"/>
          <w:szCs w:val="20"/>
          <w:lang w:val="id-ID"/>
        </w:rPr>
        <w:t>8</w:t>
      </w:r>
      <w:r w:rsidRPr="00FE65C9">
        <w:rPr>
          <w:rFonts w:ascii="Palatino Linotype" w:hAnsi="Palatino Linotype"/>
          <w:sz w:val="20"/>
          <w:szCs w:val="20"/>
        </w:rPr>
        <w:t>) states that the policy of cheap rice prices is not recommended because it only harms rice farmers.</w:t>
      </w:r>
      <w:r w:rsidRPr="00FE65C9">
        <w:rPr>
          <w:rFonts w:ascii="Palatino Linotype" w:hAnsi="Palatino Linotype"/>
          <w:sz w:val="20"/>
          <w:szCs w:val="20"/>
          <w:lang w:val="id-ID"/>
        </w:rPr>
        <w:t xml:space="preserve"> </w:t>
      </w:r>
      <w:r w:rsidRPr="00FE65C9">
        <w:rPr>
          <w:rStyle w:val="tlid-translation"/>
          <w:rFonts w:ascii="Palatino Linotype" w:hAnsi="Palatino Linotype"/>
          <w:sz w:val="20"/>
          <w:szCs w:val="20"/>
        </w:rPr>
        <w:t>According to Rochaeni (2005) that the expenditure of peasant society for consumption of 50.29% it will be felt for the family of farmers or those who produce mediocre if you have to spend additional money for electricity needs, not to mention employees who have your minimum wage, weight with the addition of expenditure while income does not increase</w:t>
      </w:r>
    </w:p>
    <w:p w:rsidR="00FE65C9" w:rsidRPr="00FE65C9" w:rsidRDefault="00FE65C9" w:rsidP="00FE65C9">
      <w:pPr>
        <w:pStyle w:val="NoSpacing"/>
        <w:ind w:firstLine="720"/>
        <w:jc w:val="both"/>
        <w:rPr>
          <w:rFonts w:ascii="Palatino Linotype" w:hAnsi="Palatino Linotype"/>
          <w:sz w:val="20"/>
          <w:szCs w:val="20"/>
        </w:rPr>
      </w:pPr>
      <w:r w:rsidRPr="00FE65C9">
        <w:rPr>
          <w:rFonts w:ascii="Palatino Linotype" w:hAnsi="Palatino Linotype"/>
          <w:sz w:val="20"/>
          <w:szCs w:val="20"/>
        </w:rPr>
        <w:t>Widayat (2017) states that poverty itself is the inability of a person to meet the needs of primarily food, clothing, shelter, education and health. There are some things that cause poverty: per-capita income slump, declining productivity, cost of living increases, subsidies are not right on target, employment and urban population are not balance.</w:t>
      </w:r>
    </w:p>
    <w:p w:rsidR="00FE65C9" w:rsidRPr="00FE65C9" w:rsidRDefault="00FE65C9" w:rsidP="00FE65C9">
      <w:pPr>
        <w:pStyle w:val="NoSpacing"/>
        <w:ind w:firstLine="709"/>
        <w:jc w:val="both"/>
        <w:rPr>
          <w:rFonts w:ascii="Palatino Linotype" w:hAnsi="Palatino Linotype"/>
          <w:sz w:val="20"/>
          <w:szCs w:val="20"/>
          <w:lang w:val="id-ID"/>
        </w:rPr>
      </w:pPr>
      <w:r w:rsidRPr="00FE65C9">
        <w:rPr>
          <w:rFonts w:ascii="Palatino Linotype" w:hAnsi="Palatino Linotype"/>
          <w:sz w:val="20"/>
          <w:szCs w:val="20"/>
        </w:rPr>
        <w:t>Interviews conducted noted that the families are not supposed to have a healthy four-fifth perfect meal, because they are already grateful to have daily food two or three times a day without any supplement. Not to mention if the household also opened a small business such as opening a juice shop that uses electricity for operational charge, raising the selling price is not possible because it will burden the consumer then the only way to give up profits are thinning.</w:t>
      </w:r>
    </w:p>
    <w:p w:rsidR="00FE65C9" w:rsidRPr="00FE65C9" w:rsidRDefault="00FE65C9" w:rsidP="00FE65C9">
      <w:pPr>
        <w:pStyle w:val="NoSpacing"/>
        <w:ind w:firstLine="720"/>
        <w:jc w:val="both"/>
        <w:rPr>
          <w:rFonts w:ascii="Palatino Linotype" w:hAnsi="Palatino Linotype"/>
          <w:sz w:val="20"/>
          <w:szCs w:val="20"/>
          <w:lang w:val="id-ID"/>
        </w:rPr>
      </w:pPr>
      <w:r w:rsidRPr="00FE65C9">
        <w:rPr>
          <w:rFonts w:ascii="Palatino Linotype" w:hAnsi="Palatino Linotype"/>
          <w:sz w:val="20"/>
          <w:szCs w:val="20"/>
        </w:rPr>
        <w:t>For the long term it is probable that if government revokes the subsidies of electricity, it could trigger poverty among the societies.</w:t>
      </w:r>
    </w:p>
    <w:p w:rsidR="00FE65C9" w:rsidRPr="00FE65C9" w:rsidRDefault="00FE65C9" w:rsidP="00FE65C9">
      <w:pPr>
        <w:pStyle w:val="NoSpacing"/>
        <w:ind w:firstLine="720"/>
        <w:jc w:val="both"/>
        <w:rPr>
          <w:rFonts w:ascii="Palatino Linotype" w:hAnsi="Palatino Linotype"/>
          <w:sz w:val="20"/>
          <w:szCs w:val="20"/>
        </w:rPr>
      </w:pPr>
      <w:r w:rsidRPr="00FE65C9">
        <w:rPr>
          <w:rFonts w:ascii="Palatino Linotype" w:hAnsi="Palatino Linotype"/>
          <w:sz w:val="20"/>
          <w:szCs w:val="20"/>
        </w:rPr>
        <w:t>It is necessary to evaluate the tariff increase because it is very burdensome for the lower economic community, if basic tariff of electricity price is to be raised, it should be better clustered based on the income or just let 900 VA electric power remains as it was, no increase. The option of subsidizing 900 VA of electricity is on average considering its usage ranges for lamps of 20 watts to 45 watts , cooking rice, fans or air conditioner and television. This is a standard requirement of the community, in contrast to those who use 1200 VA electricity and above vary according to the family’s standard, like Lights greater than 60 watts, more than one TV, washing machine, more than one air conditioner, rice cooker, Refrigerator, pumping machine water and others.</w:t>
      </w:r>
    </w:p>
    <w:p w:rsidR="00FE65C9" w:rsidRPr="00FE65C9" w:rsidRDefault="00FE65C9" w:rsidP="00FE65C9">
      <w:pPr>
        <w:pStyle w:val="NoSpacing"/>
        <w:jc w:val="both"/>
        <w:rPr>
          <w:rFonts w:ascii="Palatino Linotype" w:hAnsi="Palatino Linotype"/>
          <w:sz w:val="20"/>
          <w:szCs w:val="20"/>
        </w:rPr>
      </w:pPr>
    </w:p>
    <w:p w:rsidR="00FE65C9" w:rsidRPr="00FE65C9" w:rsidRDefault="00FE65C9" w:rsidP="00FE65C9">
      <w:pPr>
        <w:pStyle w:val="NoSpacing"/>
        <w:jc w:val="both"/>
        <w:rPr>
          <w:rFonts w:ascii="Palatino Linotype" w:hAnsi="Palatino Linotype"/>
          <w:sz w:val="20"/>
          <w:szCs w:val="20"/>
        </w:rPr>
      </w:pPr>
      <w:r w:rsidRPr="00FE65C9">
        <w:rPr>
          <w:rFonts w:ascii="Palatino Linotype" w:hAnsi="Palatino Linotype"/>
          <w:b/>
          <w:sz w:val="20"/>
          <w:szCs w:val="20"/>
        </w:rPr>
        <w:t>Conclusion</w:t>
      </w:r>
    </w:p>
    <w:p w:rsidR="00FE65C9" w:rsidRPr="00FE65C9" w:rsidRDefault="00FE65C9" w:rsidP="00FE65C9">
      <w:pPr>
        <w:pStyle w:val="NoSpacing"/>
        <w:ind w:firstLine="720"/>
        <w:jc w:val="both"/>
        <w:rPr>
          <w:rFonts w:ascii="Palatino Linotype" w:hAnsi="Palatino Linotype"/>
          <w:sz w:val="20"/>
          <w:szCs w:val="20"/>
          <w:lang w:val="id-ID"/>
        </w:rPr>
      </w:pPr>
      <w:r w:rsidRPr="00FE65C9">
        <w:rPr>
          <w:rFonts w:ascii="Palatino Linotype" w:hAnsi="Palatino Linotype"/>
          <w:sz w:val="20"/>
          <w:szCs w:val="20"/>
        </w:rPr>
        <w:t>It is advisable gover</w:t>
      </w:r>
      <w:r w:rsidRPr="00FE65C9">
        <w:rPr>
          <w:rFonts w:ascii="Palatino Linotype" w:hAnsi="Palatino Linotype"/>
          <w:sz w:val="20"/>
          <w:szCs w:val="20"/>
          <w:lang w:val="id-ID"/>
        </w:rPr>
        <w:t>r</w:t>
      </w:r>
      <w:r w:rsidRPr="00FE65C9">
        <w:rPr>
          <w:rFonts w:ascii="Palatino Linotype" w:hAnsi="Palatino Linotype"/>
          <w:sz w:val="20"/>
          <w:szCs w:val="20"/>
        </w:rPr>
        <w:t>ment consider and evaluate the policy in raising basic tariff because it is very heavy for  the community to face and overcome the burden in difficult conditions in order to survive amid high living costs. Electricity is no longer a secondary need but it includes the primary needs in the community, the economic capacity of the community is still weak which is seen from 57% of them are still earning minimum wage</w:t>
      </w:r>
    </w:p>
    <w:p w:rsidR="00FE65C9" w:rsidRPr="00FE65C9" w:rsidRDefault="00FE65C9" w:rsidP="00FE65C9">
      <w:pPr>
        <w:pStyle w:val="NoSpacing"/>
        <w:jc w:val="both"/>
        <w:rPr>
          <w:rFonts w:ascii="Palatino Linotype" w:hAnsi="Palatino Linotype"/>
          <w:sz w:val="20"/>
          <w:szCs w:val="20"/>
          <w:lang w:val="id-ID"/>
        </w:rPr>
      </w:pPr>
    </w:p>
    <w:p w:rsidR="00FE65C9" w:rsidRPr="00FE65C9" w:rsidRDefault="00FE65C9" w:rsidP="00FE65C9">
      <w:pPr>
        <w:widowControl w:val="0"/>
        <w:autoSpaceDE w:val="0"/>
        <w:autoSpaceDN w:val="0"/>
        <w:adjustRightInd w:val="0"/>
        <w:spacing w:after="0" w:line="240" w:lineRule="auto"/>
        <w:ind w:left="567" w:right="113" w:hanging="567"/>
        <w:jc w:val="both"/>
        <w:rPr>
          <w:rStyle w:val="shorttext"/>
          <w:rFonts w:ascii="Palatino Linotype" w:hAnsi="Palatino Linotype"/>
          <w:b/>
          <w:sz w:val="20"/>
          <w:szCs w:val="20"/>
        </w:rPr>
      </w:pPr>
      <w:r w:rsidRPr="00FE65C9">
        <w:rPr>
          <w:rStyle w:val="shorttext"/>
          <w:rFonts w:ascii="Palatino Linotype" w:hAnsi="Palatino Linotype"/>
          <w:b/>
          <w:sz w:val="20"/>
          <w:szCs w:val="20"/>
          <w:lang/>
        </w:rPr>
        <w:t>BIBLIOGRAPHY</w:t>
      </w:r>
    </w:p>
    <w:p w:rsidR="00FE65C9" w:rsidRPr="00FE65C9" w:rsidRDefault="00FE65C9" w:rsidP="00FE65C9">
      <w:pPr>
        <w:widowControl w:val="0"/>
        <w:autoSpaceDE w:val="0"/>
        <w:autoSpaceDN w:val="0"/>
        <w:adjustRightInd w:val="0"/>
        <w:spacing w:after="0" w:line="240" w:lineRule="auto"/>
        <w:ind w:left="567" w:right="113" w:hanging="567"/>
        <w:jc w:val="both"/>
        <w:rPr>
          <w:rFonts w:ascii="Palatino Linotype" w:hAnsi="Palatino Linotype"/>
          <w:sz w:val="20"/>
          <w:szCs w:val="20"/>
        </w:rPr>
      </w:pPr>
      <w:r w:rsidRPr="00FE65C9">
        <w:rPr>
          <w:rFonts w:ascii="Palatino Linotype" w:hAnsi="Palatino Linotype"/>
          <w:sz w:val="20"/>
          <w:szCs w:val="20"/>
        </w:rPr>
        <w:t xml:space="preserve">Dermorejo, Saktyanu K. 2003. </w:t>
      </w:r>
      <w:r w:rsidRPr="00FE65C9">
        <w:rPr>
          <w:rFonts w:ascii="Palatino Linotype" w:hAnsi="Palatino Linotype"/>
          <w:i/>
          <w:sz w:val="20"/>
          <w:szCs w:val="20"/>
        </w:rPr>
        <w:t>Analisis Kebijakan Hubungan Antar Sektor Perekonomian Nasional</w:t>
      </w:r>
      <w:r w:rsidRPr="00FE65C9">
        <w:rPr>
          <w:rFonts w:ascii="Palatino Linotype" w:hAnsi="Palatino Linotype"/>
          <w:sz w:val="20"/>
          <w:szCs w:val="20"/>
        </w:rPr>
        <w:t xml:space="preserve">. Jurnal Analisis Kebijakan Pertanian Vol. 1 No. 4 Desember 2003 345-362. </w:t>
      </w:r>
    </w:p>
    <w:p w:rsidR="00FE65C9" w:rsidRPr="00FE65C9" w:rsidRDefault="00FE65C9" w:rsidP="00FE65C9">
      <w:pPr>
        <w:pStyle w:val="NoSpacing"/>
        <w:ind w:left="567" w:hanging="567"/>
        <w:jc w:val="both"/>
        <w:rPr>
          <w:rFonts w:ascii="Palatino Linotype" w:hAnsi="Palatino Linotype"/>
          <w:sz w:val="20"/>
          <w:szCs w:val="20"/>
        </w:rPr>
      </w:pPr>
      <w:r w:rsidRPr="00FE65C9">
        <w:rPr>
          <w:rFonts w:ascii="Palatino Linotype" w:hAnsi="Palatino Linotype"/>
          <w:sz w:val="20"/>
          <w:szCs w:val="20"/>
          <w:lang w:val="id-ID"/>
        </w:rPr>
        <w:t xml:space="preserve">Dong, Fengsia., Jing Lu. Allen M Featherstone. </w:t>
      </w:r>
      <w:r w:rsidRPr="00FE65C9">
        <w:rPr>
          <w:rFonts w:ascii="Palatino Linotype" w:hAnsi="Palatino Linotype"/>
          <w:i/>
          <w:sz w:val="20"/>
          <w:szCs w:val="20"/>
          <w:lang w:val="id-ID"/>
        </w:rPr>
        <w:t>Effect of Credit constraints on household productivity in rural China</w:t>
      </w:r>
      <w:r w:rsidRPr="00FE65C9">
        <w:rPr>
          <w:rFonts w:ascii="Palatino Linotype" w:hAnsi="Palatino Linotype"/>
          <w:sz w:val="20"/>
          <w:szCs w:val="20"/>
          <w:lang w:val="id-ID"/>
        </w:rPr>
        <w:t xml:space="preserve">. Agriculture Finance review Vol 72 No. 3 tahun 2012. </w:t>
      </w:r>
    </w:p>
    <w:p w:rsidR="00FE65C9" w:rsidRPr="00FE65C9" w:rsidRDefault="00FE65C9" w:rsidP="00FE65C9">
      <w:pPr>
        <w:widowControl w:val="0"/>
        <w:autoSpaceDE w:val="0"/>
        <w:autoSpaceDN w:val="0"/>
        <w:adjustRightInd w:val="0"/>
        <w:spacing w:after="0" w:line="240" w:lineRule="auto"/>
        <w:ind w:left="567" w:right="113" w:hanging="567"/>
        <w:jc w:val="both"/>
        <w:rPr>
          <w:rFonts w:ascii="Palatino Linotype" w:hAnsi="Palatino Linotype"/>
          <w:sz w:val="20"/>
          <w:szCs w:val="20"/>
        </w:rPr>
      </w:pPr>
      <w:r w:rsidRPr="00FE65C9">
        <w:rPr>
          <w:rFonts w:ascii="Palatino Linotype" w:hAnsi="Palatino Linotype"/>
          <w:sz w:val="20"/>
          <w:szCs w:val="20"/>
        </w:rPr>
        <w:t xml:space="preserve">Golgher, Andre. </w:t>
      </w:r>
      <w:r w:rsidRPr="00FE65C9">
        <w:rPr>
          <w:rFonts w:ascii="Palatino Linotype" w:hAnsi="Palatino Linotype"/>
          <w:i/>
          <w:sz w:val="20"/>
          <w:szCs w:val="20"/>
        </w:rPr>
        <w:t>Multidimensional poverty in urban Brasil: income, assets and expenses</w:t>
      </w:r>
      <w:r w:rsidRPr="00FE65C9">
        <w:rPr>
          <w:rFonts w:ascii="Palatino Linotype" w:hAnsi="Palatino Linotype"/>
          <w:sz w:val="20"/>
          <w:szCs w:val="20"/>
        </w:rPr>
        <w:t xml:space="preserve">. International Journal of Social Economics  Vol 43 No 1 tahun 2016. </w:t>
      </w:r>
    </w:p>
    <w:p w:rsidR="00FE65C9" w:rsidRPr="00FE65C9" w:rsidRDefault="00FE65C9" w:rsidP="00FE65C9">
      <w:pPr>
        <w:widowControl w:val="0"/>
        <w:autoSpaceDE w:val="0"/>
        <w:autoSpaceDN w:val="0"/>
        <w:adjustRightInd w:val="0"/>
        <w:spacing w:after="0" w:line="240" w:lineRule="auto"/>
        <w:ind w:left="567" w:right="113" w:hanging="567"/>
        <w:jc w:val="both"/>
        <w:rPr>
          <w:rFonts w:ascii="Palatino Linotype" w:hAnsi="Palatino Linotype"/>
          <w:sz w:val="20"/>
          <w:szCs w:val="20"/>
        </w:rPr>
      </w:pPr>
      <w:r w:rsidRPr="00FE65C9">
        <w:rPr>
          <w:rFonts w:ascii="Palatino Linotype" w:hAnsi="Palatino Linotype"/>
          <w:sz w:val="20"/>
          <w:szCs w:val="20"/>
        </w:rPr>
        <w:lastRenderedPageBreak/>
        <w:t xml:space="preserve">Handajadi, Wiwik. 2015. </w:t>
      </w:r>
      <w:r w:rsidRPr="00FE65C9">
        <w:rPr>
          <w:rFonts w:ascii="Palatino Linotype" w:hAnsi="Palatino Linotype"/>
          <w:i/>
          <w:sz w:val="20"/>
          <w:szCs w:val="20"/>
        </w:rPr>
        <w:t>Manajemen Energi Upaya Peningkatan Kualitas Daya Listrik dalam Industri Rumah Tangga</w:t>
      </w:r>
      <w:r w:rsidRPr="00FE65C9">
        <w:rPr>
          <w:rFonts w:ascii="Palatino Linotype" w:hAnsi="Palatino Linotype"/>
          <w:sz w:val="20"/>
          <w:szCs w:val="20"/>
        </w:rPr>
        <w:t>. The 2nd University Research Coloquium 2015 ISSN 2407-9189.</w:t>
      </w:r>
    </w:p>
    <w:p w:rsidR="00FE65C9" w:rsidRPr="00FE65C9" w:rsidRDefault="00FE65C9" w:rsidP="00FE65C9">
      <w:pPr>
        <w:widowControl w:val="0"/>
        <w:autoSpaceDE w:val="0"/>
        <w:autoSpaceDN w:val="0"/>
        <w:adjustRightInd w:val="0"/>
        <w:spacing w:after="0" w:line="240" w:lineRule="auto"/>
        <w:ind w:left="567" w:right="113" w:hanging="567"/>
        <w:jc w:val="both"/>
        <w:rPr>
          <w:rFonts w:ascii="Palatino Linotype" w:hAnsi="Palatino Linotype"/>
          <w:b/>
          <w:sz w:val="20"/>
          <w:szCs w:val="20"/>
        </w:rPr>
      </w:pPr>
      <w:r w:rsidRPr="00FE65C9">
        <w:rPr>
          <w:rFonts w:ascii="Palatino Linotype" w:hAnsi="Palatino Linotype"/>
          <w:sz w:val="20"/>
          <w:szCs w:val="20"/>
        </w:rPr>
        <w:t xml:space="preserve">Hendrojogi. 2015. </w:t>
      </w:r>
      <w:r w:rsidRPr="00FE65C9">
        <w:rPr>
          <w:rFonts w:ascii="Palatino Linotype" w:hAnsi="Palatino Linotype"/>
          <w:i/>
          <w:sz w:val="20"/>
          <w:szCs w:val="20"/>
        </w:rPr>
        <w:t>Koperasi : Asas-asas, Teori dan praktik. Edisi revisi</w:t>
      </w:r>
      <w:r w:rsidRPr="00FE65C9">
        <w:rPr>
          <w:rFonts w:ascii="Palatino Linotype" w:hAnsi="Palatino Linotype"/>
          <w:sz w:val="20"/>
          <w:szCs w:val="20"/>
        </w:rPr>
        <w:t xml:space="preserve">. Cetakan ke 10 PT RajaGrafindo Persada. Jakarta.  </w:t>
      </w:r>
    </w:p>
    <w:p w:rsidR="00FE65C9" w:rsidRPr="00FE65C9" w:rsidRDefault="00FE65C9" w:rsidP="00FE65C9">
      <w:pPr>
        <w:widowControl w:val="0"/>
        <w:autoSpaceDE w:val="0"/>
        <w:autoSpaceDN w:val="0"/>
        <w:adjustRightInd w:val="0"/>
        <w:spacing w:after="0" w:line="240" w:lineRule="auto"/>
        <w:ind w:left="567" w:right="113" w:hanging="567"/>
        <w:jc w:val="both"/>
        <w:rPr>
          <w:rFonts w:ascii="Palatino Linotype" w:hAnsi="Palatino Linotype"/>
          <w:sz w:val="20"/>
          <w:szCs w:val="20"/>
        </w:rPr>
      </w:pPr>
      <w:r w:rsidRPr="00FE65C9">
        <w:rPr>
          <w:rFonts w:ascii="Palatino Linotype" w:hAnsi="Palatino Linotype"/>
          <w:sz w:val="20"/>
          <w:szCs w:val="20"/>
        </w:rPr>
        <w:t xml:space="preserve">Jingan., ML. 2016. </w:t>
      </w:r>
      <w:r w:rsidRPr="00FE65C9">
        <w:rPr>
          <w:rFonts w:ascii="Palatino Linotype" w:hAnsi="Palatino Linotype"/>
          <w:i/>
          <w:sz w:val="20"/>
          <w:szCs w:val="20"/>
        </w:rPr>
        <w:t>Ekonomi Pembangunan dan Perencanaan</w:t>
      </w:r>
      <w:r w:rsidRPr="00FE65C9">
        <w:rPr>
          <w:rFonts w:ascii="Palatino Linotype" w:hAnsi="Palatino Linotype"/>
          <w:sz w:val="20"/>
          <w:szCs w:val="20"/>
        </w:rPr>
        <w:t>. Cetakan ke</w:t>
      </w:r>
      <w:r w:rsidRPr="00FE65C9">
        <w:rPr>
          <w:rFonts w:ascii="Palatino Linotype" w:hAnsi="Palatino Linotype"/>
          <w:i/>
          <w:sz w:val="20"/>
          <w:szCs w:val="20"/>
        </w:rPr>
        <w:t xml:space="preserve"> </w:t>
      </w:r>
      <w:r w:rsidRPr="00FE65C9">
        <w:rPr>
          <w:rFonts w:ascii="Palatino Linotype" w:hAnsi="Palatino Linotype"/>
          <w:sz w:val="20"/>
          <w:szCs w:val="20"/>
        </w:rPr>
        <w:t xml:space="preserve">16 PT Raja Grafindo Persada. Jakarta. </w:t>
      </w:r>
    </w:p>
    <w:p w:rsidR="00FE65C9" w:rsidRPr="00FE65C9" w:rsidRDefault="00FE65C9" w:rsidP="00FE65C9">
      <w:pPr>
        <w:pStyle w:val="NoSpacing"/>
        <w:ind w:left="567" w:hanging="567"/>
        <w:jc w:val="both"/>
        <w:rPr>
          <w:rFonts w:ascii="Palatino Linotype" w:hAnsi="Palatino Linotype"/>
          <w:sz w:val="20"/>
          <w:szCs w:val="20"/>
          <w:lang w:val="id-ID"/>
        </w:rPr>
      </w:pPr>
      <w:r w:rsidRPr="00FE65C9">
        <w:rPr>
          <w:rFonts w:ascii="Palatino Linotype" w:hAnsi="Palatino Linotype"/>
          <w:sz w:val="20"/>
          <w:szCs w:val="20"/>
          <w:lang w:val="id-ID"/>
        </w:rPr>
        <w:t xml:space="preserve">Krasniqi, Besnik A. </w:t>
      </w:r>
      <w:r w:rsidRPr="00FE65C9">
        <w:rPr>
          <w:rFonts w:ascii="Palatino Linotype" w:hAnsi="Palatino Linotype"/>
          <w:i/>
          <w:sz w:val="20"/>
          <w:szCs w:val="20"/>
          <w:lang w:val="id-ID"/>
        </w:rPr>
        <w:t>Personal Household and business environmental determinants of enterpreneurship</w:t>
      </w:r>
      <w:r w:rsidRPr="00FE65C9">
        <w:rPr>
          <w:rFonts w:ascii="Palatino Linotype" w:hAnsi="Palatino Linotype"/>
          <w:sz w:val="20"/>
          <w:szCs w:val="20"/>
          <w:lang w:val="id-ID"/>
        </w:rPr>
        <w:t xml:space="preserve">. Journal of small business and enterprise Development Vol 16 No I 2009. </w:t>
      </w:r>
    </w:p>
    <w:p w:rsidR="00FE65C9" w:rsidRPr="00FE65C9" w:rsidRDefault="00FE65C9" w:rsidP="00FE65C9">
      <w:pPr>
        <w:widowControl w:val="0"/>
        <w:autoSpaceDE w:val="0"/>
        <w:autoSpaceDN w:val="0"/>
        <w:adjustRightInd w:val="0"/>
        <w:spacing w:after="0" w:line="240" w:lineRule="auto"/>
        <w:ind w:left="567" w:right="113" w:hanging="567"/>
        <w:jc w:val="both"/>
        <w:rPr>
          <w:rFonts w:ascii="Palatino Linotype" w:hAnsi="Palatino Linotype"/>
          <w:sz w:val="20"/>
          <w:szCs w:val="20"/>
        </w:rPr>
      </w:pPr>
      <w:r w:rsidRPr="00FE65C9">
        <w:rPr>
          <w:rFonts w:ascii="Palatino Linotype" w:hAnsi="Palatino Linotype"/>
          <w:sz w:val="20"/>
          <w:szCs w:val="20"/>
        </w:rPr>
        <w:t xml:space="preserve">Malian, A Husni., et all. </w:t>
      </w:r>
      <w:r w:rsidRPr="00FE65C9">
        <w:rPr>
          <w:rFonts w:ascii="Palatino Linotype" w:hAnsi="Palatino Linotype"/>
          <w:i/>
          <w:sz w:val="20"/>
          <w:szCs w:val="20"/>
        </w:rPr>
        <w:t>Faktor-faktor yang mempengaruhi Produksi Konsumsi dan Harga Beras serta Inflasi Bahan Makanan</w:t>
      </w:r>
      <w:r w:rsidRPr="00FE65C9">
        <w:rPr>
          <w:rFonts w:ascii="Palatino Linotype" w:hAnsi="Palatino Linotype"/>
          <w:sz w:val="20"/>
          <w:szCs w:val="20"/>
        </w:rPr>
        <w:t xml:space="preserve">. Jurnal Agro Ekonomi </w:t>
      </w:r>
      <w:r w:rsidRPr="00FE65C9">
        <w:rPr>
          <w:rFonts w:ascii="Palatino Linotype" w:hAnsi="Palatino Linotype"/>
          <w:sz w:val="20"/>
          <w:szCs w:val="20"/>
          <w:lang w:eastAsia="id-ID"/>
        </w:rPr>
        <w:t xml:space="preserve">P-ISSN 0216-9053 E-ISSN 254-11527 Vol 22 No. 2 (2004). </w:t>
      </w:r>
      <w:r w:rsidRPr="00FE65C9">
        <w:rPr>
          <w:rFonts w:ascii="Palatino Linotype" w:hAnsi="Palatino Linotype"/>
          <w:sz w:val="20"/>
          <w:szCs w:val="20"/>
        </w:rPr>
        <w:t xml:space="preserve">Mulyati, Meylinda. 2008. </w:t>
      </w:r>
      <w:r w:rsidRPr="00FE65C9">
        <w:rPr>
          <w:rFonts w:ascii="Palatino Linotype" w:hAnsi="Palatino Linotype"/>
          <w:i/>
          <w:sz w:val="20"/>
          <w:szCs w:val="20"/>
        </w:rPr>
        <w:t xml:space="preserve">Penetapan Tarif Dasar Listrik (TDL) untuk Sektor Industri di Indonesia. </w:t>
      </w:r>
      <w:r w:rsidRPr="00FE65C9">
        <w:rPr>
          <w:rFonts w:ascii="Palatino Linotype" w:hAnsi="Palatino Linotype"/>
          <w:sz w:val="20"/>
          <w:szCs w:val="20"/>
        </w:rPr>
        <w:t xml:space="preserve">Jurnal Teknik Industri Vol 8 No 1 Mei 2008. </w:t>
      </w:r>
    </w:p>
    <w:p w:rsidR="00FE65C9" w:rsidRPr="00FE65C9" w:rsidRDefault="00FE65C9" w:rsidP="00FE65C9">
      <w:pPr>
        <w:widowControl w:val="0"/>
        <w:autoSpaceDE w:val="0"/>
        <w:autoSpaceDN w:val="0"/>
        <w:adjustRightInd w:val="0"/>
        <w:spacing w:after="0" w:line="240" w:lineRule="auto"/>
        <w:ind w:left="567" w:right="113" w:hanging="567"/>
        <w:jc w:val="both"/>
        <w:rPr>
          <w:rFonts w:ascii="Palatino Linotype" w:hAnsi="Palatino Linotype"/>
          <w:sz w:val="20"/>
          <w:szCs w:val="20"/>
        </w:rPr>
      </w:pPr>
      <w:r w:rsidRPr="00FE65C9">
        <w:rPr>
          <w:rFonts w:ascii="Palatino Linotype" w:hAnsi="Palatino Linotype"/>
          <w:sz w:val="20"/>
          <w:szCs w:val="20"/>
        </w:rPr>
        <w:t xml:space="preserve">Ntsalaze, Lungile., Sylvanus Ikhide. </w:t>
      </w:r>
      <w:r w:rsidRPr="00FE65C9">
        <w:rPr>
          <w:rFonts w:ascii="Palatino Linotype" w:hAnsi="Palatino Linotype"/>
          <w:i/>
          <w:sz w:val="20"/>
          <w:szCs w:val="20"/>
        </w:rPr>
        <w:t>The threshold effects of household indebtedness on multidimensional poverty</w:t>
      </w:r>
      <w:r w:rsidRPr="00FE65C9">
        <w:rPr>
          <w:rFonts w:ascii="Palatino Linotype" w:hAnsi="Palatino Linotype"/>
          <w:sz w:val="20"/>
          <w:szCs w:val="20"/>
        </w:rPr>
        <w:t>. International Journal of Social Economics Vol 44 No 11 tahun 2017.</w:t>
      </w:r>
    </w:p>
    <w:p w:rsidR="00FE65C9" w:rsidRPr="00FE65C9" w:rsidRDefault="00FE65C9" w:rsidP="00FE65C9">
      <w:pPr>
        <w:widowControl w:val="0"/>
        <w:autoSpaceDE w:val="0"/>
        <w:autoSpaceDN w:val="0"/>
        <w:adjustRightInd w:val="0"/>
        <w:spacing w:after="0" w:line="240" w:lineRule="auto"/>
        <w:ind w:left="567" w:right="113" w:hanging="567"/>
        <w:jc w:val="both"/>
        <w:rPr>
          <w:rFonts w:ascii="Palatino Linotype" w:hAnsi="Palatino Linotype"/>
          <w:sz w:val="20"/>
          <w:szCs w:val="20"/>
        </w:rPr>
      </w:pPr>
      <w:r w:rsidRPr="00FE65C9">
        <w:rPr>
          <w:rFonts w:ascii="Palatino Linotype" w:hAnsi="Palatino Linotype"/>
          <w:sz w:val="20"/>
          <w:szCs w:val="20"/>
        </w:rPr>
        <w:t xml:space="preserve">Nugroho, Very Purwo., Triwilaswandio WP. 2012. </w:t>
      </w:r>
      <w:r w:rsidRPr="00FE65C9">
        <w:rPr>
          <w:rFonts w:ascii="Palatino Linotype" w:hAnsi="Palatino Linotype"/>
          <w:i/>
          <w:sz w:val="20"/>
          <w:szCs w:val="20"/>
        </w:rPr>
        <w:t>Permodelan Risiko Kenaikan Tarif Dasar Listrik terhadap Biaya produksi Kapal Baru</w:t>
      </w:r>
      <w:r w:rsidRPr="00FE65C9">
        <w:rPr>
          <w:rFonts w:ascii="Palatino Linotype" w:hAnsi="Palatino Linotype"/>
          <w:sz w:val="20"/>
          <w:szCs w:val="20"/>
        </w:rPr>
        <w:t xml:space="preserve">. Jurnal Teknik ITS Vol 1 No 1 September 2012 ISSN 2301-9271. Obben, James., Monique Waayer. </w:t>
      </w:r>
      <w:r w:rsidRPr="00FE65C9">
        <w:rPr>
          <w:rFonts w:ascii="Palatino Linotype" w:hAnsi="Palatino Linotype"/>
          <w:i/>
          <w:sz w:val="20"/>
          <w:szCs w:val="20"/>
        </w:rPr>
        <w:t>New Zealand’s old-age pension scheme and household saving</w:t>
      </w:r>
      <w:r w:rsidRPr="00FE65C9">
        <w:rPr>
          <w:rFonts w:ascii="Palatino Linotype" w:hAnsi="Palatino Linotype"/>
          <w:sz w:val="20"/>
          <w:szCs w:val="20"/>
        </w:rPr>
        <w:t xml:space="preserve">. International Journal of Social Economics Vol 38 No 9 tahun 2011. </w:t>
      </w:r>
    </w:p>
    <w:p w:rsidR="00FE65C9" w:rsidRPr="00FE65C9" w:rsidRDefault="00FE65C9" w:rsidP="00FE65C9">
      <w:pPr>
        <w:widowControl w:val="0"/>
        <w:autoSpaceDE w:val="0"/>
        <w:autoSpaceDN w:val="0"/>
        <w:adjustRightInd w:val="0"/>
        <w:spacing w:after="0" w:line="240" w:lineRule="auto"/>
        <w:ind w:left="567" w:right="113" w:hanging="567"/>
        <w:jc w:val="both"/>
        <w:rPr>
          <w:rFonts w:ascii="Palatino Linotype" w:hAnsi="Palatino Linotype"/>
          <w:sz w:val="20"/>
          <w:szCs w:val="20"/>
        </w:rPr>
      </w:pPr>
      <w:r w:rsidRPr="00FE65C9">
        <w:rPr>
          <w:rFonts w:ascii="Palatino Linotype" w:hAnsi="Palatino Linotype"/>
          <w:sz w:val="20"/>
          <w:szCs w:val="20"/>
        </w:rPr>
        <w:t xml:space="preserve">Patriadi, Pandu., Rudi Handoko. </w:t>
      </w:r>
      <w:r w:rsidRPr="00FE65C9">
        <w:rPr>
          <w:rFonts w:ascii="Palatino Linotype" w:hAnsi="Palatino Linotype"/>
          <w:i/>
          <w:sz w:val="20"/>
          <w:szCs w:val="20"/>
        </w:rPr>
        <w:t>Evaluasi Kebijakan Subsidi Non BBM</w:t>
      </w:r>
      <w:r w:rsidRPr="00FE65C9">
        <w:rPr>
          <w:rFonts w:ascii="Palatino Linotype" w:hAnsi="Palatino Linotype"/>
          <w:sz w:val="20"/>
          <w:szCs w:val="20"/>
        </w:rPr>
        <w:t xml:space="preserve">. Jurnal Kajian Ekonomi dan Keuangan Volume 9 Nomor 4 Desember 2005. </w:t>
      </w:r>
    </w:p>
    <w:p w:rsidR="00FE65C9" w:rsidRPr="00FE65C9" w:rsidRDefault="00FE65C9" w:rsidP="00FE65C9">
      <w:pPr>
        <w:widowControl w:val="0"/>
        <w:autoSpaceDE w:val="0"/>
        <w:autoSpaceDN w:val="0"/>
        <w:adjustRightInd w:val="0"/>
        <w:spacing w:after="0" w:line="240" w:lineRule="auto"/>
        <w:ind w:left="567" w:right="113" w:hanging="567"/>
        <w:jc w:val="both"/>
        <w:rPr>
          <w:rFonts w:ascii="Palatino Linotype" w:hAnsi="Palatino Linotype"/>
          <w:sz w:val="20"/>
          <w:szCs w:val="20"/>
        </w:rPr>
      </w:pPr>
      <w:r w:rsidRPr="00FE65C9">
        <w:rPr>
          <w:rFonts w:ascii="Palatino Linotype" w:hAnsi="Palatino Linotype"/>
          <w:sz w:val="20"/>
          <w:szCs w:val="20"/>
        </w:rPr>
        <w:t xml:space="preserve">Purbaningrum, Sanurya Putri. 2014. </w:t>
      </w:r>
      <w:r w:rsidRPr="00FE65C9">
        <w:rPr>
          <w:rFonts w:ascii="Palatino Linotype" w:hAnsi="Palatino Linotype"/>
          <w:i/>
          <w:sz w:val="20"/>
          <w:szCs w:val="20"/>
        </w:rPr>
        <w:t>Audit Energi Dan Analisis Peluang Penghematan Konsumsi Energi Listrik Pada Rumah Tangga</w:t>
      </w:r>
      <w:r w:rsidRPr="00FE65C9">
        <w:rPr>
          <w:rFonts w:ascii="Palatino Linotype" w:hAnsi="Palatino Linotype"/>
          <w:sz w:val="20"/>
          <w:szCs w:val="20"/>
        </w:rPr>
        <w:t xml:space="preserve">. Media Mesin Vol 15 No 1 Januari 2014 ISSN 1411-4348. </w:t>
      </w:r>
    </w:p>
    <w:p w:rsidR="00FE65C9" w:rsidRPr="00FE65C9" w:rsidRDefault="00FE65C9" w:rsidP="00FE65C9">
      <w:pPr>
        <w:widowControl w:val="0"/>
        <w:autoSpaceDE w:val="0"/>
        <w:autoSpaceDN w:val="0"/>
        <w:adjustRightInd w:val="0"/>
        <w:spacing w:after="0" w:line="240" w:lineRule="auto"/>
        <w:ind w:left="567" w:right="113" w:hanging="567"/>
        <w:jc w:val="both"/>
        <w:rPr>
          <w:rFonts w:ascii="Palatino Linotype" w:hAnsi="Palatino Linotype"/>
          <w:sz w:val="20"/>
          <w:szCs w:val="20"/>
        </w:rPr>
      </w:pPr>
      <w:r w:rsidRPr="00FE65C9">
        <w:rPr>
          <w:rFonts w:ascii="Palatino Linotype" w:hAnsi="Palatino Linotype"/>
          <w:sz w:val="20"/>
          <w:szCs w:val="20"/>
        </w:rPr>
        <w:t xml:space="preserve">Rochaeni, Siti., Erna M Lokollo. </w:t>
      </w:r>
      <w:r w:rsidRPr="00FE65C9">
        <w:rPr>
          <w:rFonts w:ascii="Palatino Linotype" w:hAnsi="Palatino Linotype"/>
          <w:i/>
          <w:sz w:val="20"/>
          <w:szCs w:val="20"/>
        </w:rPr>
        <w:t>Faktor-faktor yang mempengaruhi Keputusan Ekonomi Rumah Tangga Petani di Kelurahan Setugede Kota Bogor</w:t>
      </w:r>
      <w:r w:rsidRPr="00FE65C9">
        <w:rPr>
          <w:rFonts w:ascii="Palatino Linotype" w:hAnsi="Palatino Linotype"/>
          <w:sz w:val="20"/>
          <w:szCs w:val="20"/>
        </w:rPr>
        <w:t xml:space="preserve">. Jurnal Agro Ekonomi </w:t>
      </w:r>
      <w:r w:rsidRPr="00FE65C9">
        <w:rPr>
          <w:rFonts w:ascii="Palatino Linotype" w:hAnsi="Palatino Linotype"/>
          <w:sz w:val="20"/>
          <w:szCs w:val="20"/>
          <w:lang w:eastAsia="id-ID"/>
        </w:rPr>
        <w:t xml:space="preserve">P-ISSN 0216-9053 E-ISSN 254-11527 Vol 23 No. 2 (2005). </w:t>
      </w:r>
    </w:p>
    <w:p w:rsidR="00FE65C9" w:rsidRPr="00FE65C9" w:rsidRDefault="00FE65C9" w:rsidP="00FE65C9">
      <w:pPr>
        <w:widowControl w:val="0"/>
        <w:autoSpaceDE w:val="0"/>
        <w:autoSpaceDN w:val="0"/>
        <w:adjustRightInd w:val="0"/>
        <w:spacing w:after="0" w:line="240" w:lineRule="auto"/>
        <w:ind w:left="567" w:right="113" w:hanging="567"/>
        <w:jc w:val="both"/>
        <w:rPr>
          <w:rFonts w:ascii="Palatino Linotype" w:hAnsi="Palatino Linotype"/>
          <w:sz w:val="20"/>
          <w:szCs w:val="20"/>
        </w:rPr>
      </w:pPr>
      <w:r w:rsidRPr="00FE65C9">
        <w:rPr>
          <w:rFonts w:ascii="Palatino Linotype" w:hAnsi="Palatino Linotype"/>
          <w:sz w:val="20"/>
          <w:szCs w:val="20"/>
        </w:rPr>
        <w:t xml:space="preserve">Sulistiawati. Rini.   2013. </w:t>
      </w:r>
      <w:r w:rsidRPr="00FE65C9">
        <w:rPr>
          <w:rFonts w:ascii="Palatino Linotype" w:hAnsi="Palatino Linotype"/>
          <w:i/>
          <w:iCs/>
          <w:sz w:val="20"/>
          <w:szCs w:val="20"/>
        </w:rPr>
        <w:t xml:space="preserve">Pengaruh  Upah  Minimum   terhadap  Penyerapan Tenaga  Kerja dan Kesejahteraan Masyarakat di Provinsidi Indonesia. </w:t>
      </w:r>
      <w:r w:rsidRPr="00FE65C9">
        <w:rPr>
          <w:rFonts w:ascii="Palatino Linotype" w:hAnsi="Palatino Linotype"/>
          <w:sz w:val="20"/>
          <w:szCs w:val="20"/>
        </w:rPr>
        <w:t xml:space="preserve">Jurnal EKSOS. Vol. 8. No. 3.Halaman 195-211. </w:t>
      </w:r>
    </w:p>
    <w:p w:rsidR="00FE65C9" w:rsidRPr="00FE65C9" w:rsidRDefault="00FE65C9" w:rsidP="00FE65C9">
      <w:pPr>
        <w:pStyle w:val="NoSpacing"/>
        <w:ind w:left="567" w:hanging="567"/>
        <w:jc w:val="both"/>
        <w:rPr>
          <w:rFonts w:ascii="Palatino Linotype" w:hAnsi="Palatino Linotype"/>
          <w:sz w:val="20"/>
          <w:szCs w:val="20"/>
          <w:lang w:val="id-ID"/>
        </w:rPr>
      </w:pPr>
      <w:r w:rsidRPr="00FE65C9">
        <w:rPr>
          <w:rFonts w:ascii="Palatino Linotype" w:hAnsi="Palatino Linotype"/>
          <w:sz w:val="20"/>
          <w:szCs w:val="20"/>
          <w:lang w:val="id-ID"/>
        </w:rPr>
        <w:t xml:space="preserve">Widayat, Prama. 2017. </w:t>
      </w:r>
      <w:r w:rsidRPr="00FE65C9">
        <w:rPr>
          <w:rFonts w:ascii="Palatino Linotype" w:hAnsi="Palatino Linotype"/>
          <w:i/>
          <w:sz w:val="20"/>
          <w:szCs w:val="20"/>
          <w:lang w:val="id-ID"/>
        </w:rPr>
        <w:t>Perekonomian Indonesia</w:t>
      </w:r>
      <w:r w:rsidRPr="00FE65C9">
        <w:rPr>
          <w:rFonts w:ascii="Palatino Linotype" w:hAnsi="Palatino Linotype"/>
          <w:sz w:val="20"/>
          <w:szCs w:val="20"/>
          <w:lang w:val="id-ID"/>
        </w:rPr>
        <w:t>. CV Karya Nofa. Pekanbaru.</w:t>
      </w:r>
    </w:p>
    <w:p w:rsidR="00FE65C9" w:rsidRDefault="00FE65C9" w:rsidP="00FE65C9">
      <w:pPr>
        <w:pStyle w:val="NoSpacing"/>
        <w:rPr>
          <w:rFonts w:ascii="Palatino Linotype" w:hAnsi="Palatino Linotype"/>
          <w:b/>
          <w:sz w:val="20"/>
          <w:szCs w:val="20"/>
        </w:rPr>
      </w:pPr>
    </w:p>
    <w:p w:rsidR="008F7EAC" w:rsidRPr="008F7EAC" w:rsidRDefault="008F7EAC" w:rsidP="00FE65C9">
      <w:pPr>
        <w:pStyle w:val="NoSpacing"/>
        <w:rPr>
          <w:rFonts w:ascii="Palatino Linotype" w:hAnsi="Palatino Linotype"/>
          <w:b/>
          <w:sz w:val="20"/>
          <w:szCs w:val="20"/>
        </w:rPr>
      </w:pPr>
    </w:p>
    <w:p w:rsidR="00FE65C9" w:rsidRDefault="00FE65C9" w:rsidP="00FE65C9">
      <w:pPr>
        <w:pStyle w:val="NoSpacing"/>
        <w:jc w:val="center"/>
        <w:rPr>
          <w:rFonts w:ascii="Palatino Linotype" w:hAnsi="Palatino Linotype"/>
          <w:b/>
          <w:sz w:val="20"/>
          <w:szCs w:val="20"/>
        </w:rPr>
      </w:pPr>
      <w:r w:rsidRPr="00FE65C9">
        <w:rPr>
          <w:rFonts w:ascii="Palatino Linotype" w:hAnsi="Palatino Linotype"/>
          <w:b/>
          <w:sz w:val="20"/>
          <w:szCs w:val="20"/>
          <w:lang w:val="id-ID"/>
        </w:rPr>
        <w:t>ABOUT AUTHOR</w:t>
      </w:r>
    </w:p>
    <w:p w:rsidR="008F7EAC" w:rsidRPr="008F7EAC" w:rsidRDefault="008F7EAC" w:rsidP="00FE65C9">
      <w:pPr>
        <w:pStyle w:val="NoSpacing"/>
        <w:jc w:val="center"/>
        <w:rPr>
          <w:rFonts w:ascii="Palatino Linotype" w:hAnsi="Palatino Linotype"/>
          <w:b/>
          <w:sz w:val="20"/>
          <w:szCs w:val="20"/>
        </w:rPr>
      </w:pPr>
    </w:p>
    <w:p w:rsidR="00FE65C9" w:rsidRPr="00FE65C9" w:rsidRDefault="00FE65C9" w:rsidP="00FE65C9">
      <w:pPr>
        <w:spacing w:line="240" w:lineRule="auto"/>
        <w:jc w:val="both"/>
        <w:rPr>
          <w:rFonts w:ascii="Palatino Linotype" w:hAnsi="Palatino Linotype"/>
          <w:sz w:val="20"/>
          <w:szCs w:val="20"/>
        </w:rPr>
      </w:pPr>
      <w:r w:rsidRPr="00FE65C9">
        <w:rPr>
          <w:rFonts w:ascii="Palatino Linotype" w:hAnsi="Palatino Linotype"/>
          <w:b/>
          <w:sz w:val="20"/>
          <w:szCs w:val="20"/>
        </w:rPr>
        <w:t xml:space="preserve">Prama Widayat, </w:t>
      </w:r>
      <w:r w:rsidRPr="00FE65C9">
        <w:rPr>
          <w:rFonts w:ascii="Palatino Linotype" w:hAnsi="Palatino Linotype"/>
          <w:sz w:val="20"/>
          <w:szCs w:val="20"/>
          <w:lang/>
        </w:rPr>
        <w:t>is a</w:t>
      </w:r>
      <w:r w:rsidRPr="00FE65C9">
        <w:rPr>
          <w:rFonts w:ascii="Palatino Linotype" w:hAnsi="Palatino Linotype"/>
          <w:sz w:val="20"/>
          <w:szCs w:val="20"/>
        </w:rPr>
        <w:t xml:space="preserve"> </w:t>
      </w:r>
      <w:r w:rsidRPr="00FE65C9">
        <w:rPr>
          <w:rFonts w:ascii="Palatino Linotype" w:hAnsi="Palatino Linotype"/>
          <w:sz w:val="20"/>
          <w:szCs w:val="20"/>
          <w:lang/>
        </w:rPr>
        <w:t xml:space="preserve">lecturer at the Faculty of Economics at Lancang Kuning University, Magister Management </w:t>
      </w:r>
      <w:r w:rsidRPr="00FE65C9">
        <w:rPr>
          <w:rFonts w:ascii="Palatino Linotype" w:hAnsi="Palatino Linotype"/>
          <w:sz w:val="20"/>
          <w:szCs w:val="20"/>
        </w:rPr>
        <w:t>in</w:t>
      </w:r>
      <w:r w:rsidRPr="00FE65C9">
        <w:rPr>
          <w:rFonts w:ascii="Palatino Linotype" w:hAnsi="Palatino Linotype"/>
          <w:sz w:val="20"/>
          <w:szCs w:val="20"/>
          <w:lang/>
        </w:rPr>
        <w:t xml:space="preserve"> Mercubuana University </w:t>
      </w:r>
      <w:r w:rsidRPr="00FE65C9">
        <w:rPr>
          <w:rFonts w:ascii="Palatino Linotype" w:hAnsi="Palatino Linotype"/>
          <w:sz w:val="20"/>
          <w:szCs w:val="20"/>
        </w:rPr>
        <w:t xml:space="preserve">of </w:t>
      </w:r>
      <w:r w:rsidRPr="00FE65C9">
        <w:rPr>
          <w:rFonts w:ascii="Palatino Linotype" w:hAnsi="Palatino Linotype"/>
          <w:sz w:val="20"/>
          <w:szCs w:val="20"/>
          <w:lang/>
        </w:rPr>
        <w:t xml:space="preserve">Jakarta. </w:t>
      </w:r>
      <w:r w:rsidRPr="00FE65C9">
        <w:rPr>
          <w:rFonts w:ascii="Palatino Linotype" w:hAnsi="Palatino Linotype"/>
          <w:sz w:val="20"/>
          <w:szCs w:val="20"/>
        </w:rPr>
        <w:t>Bachelor</w:t>
      </w:r>
      <w:r w:rsidRPr="00FE65C9">
        <w:rPr>
          <w:rFonts w:ascii="Palatino Linotype" w:hAnsi="Palatino Linotype"/>
          <w:sz w:val="20"/>
          <w:szCs w:val="20"/>
          <w:lang/>
        </w:rPr>
        <w:t xml:space="preserve"> degree </w:t>
      </w:r>
      <w:r w:rsidRPr="00FE65C9">
        <w:rPr>
          <w:rFonts w:ascii="Palatino Linotype" w:hAnsi="Palatino Linotype"/>
          <w:sz w:val="20"/>
          <w:szCs w:val="20"/>
        </w:rPr>
        <w:t>in</w:t>
      </w:r>
      <w:r w:rsidRPr="00FE65C9">
        <w:rPr>
          <w:rFonts w:ascii="Palatino Linotype" w:hAnsi="Palatino Linotype"/>
          <w:sz w:val="20"/>
          <w:szCs w:val="20"/>
          <w:lang/>
        </w:rPr>
        <w:t xml:space="preserve"> Bung Hatta University of Padang</w:t>
      </w:r>
    </w:p>
    <w:p w:rsidR="00FE65C9" w:rsidRPr="00FE65C9" w:rsidRDefault="00FE65C9" w:rsidP="0038506E">
      <w:pPr>
        <w:autoSpaceDE w:val="0"/>
        <w:autoSpaceDN w:val="0"/>
        <w:adjustRightInd w:val="0"/>
        <w:spacing w:after="0" w:line="240" w:lineRule="auto"/>
        <w:ind w:right="-46"/>
        <w:rPr>
          <w:rFonts w:ascii="Palatino Linotype" w:hAnsi="Palatino Linotype" w:cstheme="minorHAnsi"/>
          <w:sz w:val="20"/>
          <w:szCs w:val="20"/>
          <w:lang w:val="en-US"/>
        </w:rPr>
      </w:pPr>
    </w:p>
    <w:p w:rsidR="00FE65C9" w:rsidRPr="00FE65C9" w:rsidRDefault="00FE65C9" w:rsidP="0038506E">
      <w:pPr>
        <w:autoSpaceDE w:val="0"/>
        <w:autoSpaceDN w:val="0"/>
        <w:adjustRightInd w:val="0"/>
        <w:spacing w:after="0" w:line="240" w:lineRule="auto"/>
        <w:ind w:right="-46"/>
        <w:rPr>
          <w:rFonts w:ascii="Palatino Linotype" w:hAnsi="Palatino Linotype" w:cstheme="minorHAnsi"/>
          <w:sz w:val="20"/>
          <w:szCs w:val="20"/>
          <w:lang w:val="en-US"/>
        </w:rPr>
      </w:pPr>
    </w:p>
    <w:p w:rsidR="00FE65C9" w:rsidRPr="00FE65C9" w:rsidRDefault="00FE65C9" w:rsidP="0038506E">
      <w:pPr>
        <w:autoSpaceDE w:val="0"/>
        <w:autoSpaceDN w:val="0"/>
        <w:adjustRightInd w:val="0"/>
        <w:spacing w:after="0" w:line="240" w:lineRule="auto"/>
        <w:ind w:right="-46"/>
        <w:rPr>
          <w:rFonts w:ascii="Palatino Linotype" w:hAnsi="Palatino Linotype" w:cstheme="minorHAnsi"/>
          <w:sz w:val="20"/>
          <w:szCs w:val="20"/>
          <w:lang w:val="en-US"/>
        </w:rPr>
      </w:pPr>
    </w:p>
    <w:p w:rsidR="00FE65C9" w:rsidRPr="00FE65C9" w:rsidRDefault="00FE65C9" w:rsidP="0038506E">
      <w:pPr>
        <w:autoSpaceDE w:val="0"/>
        <w:autoSpaceDN w:val="0"/>
        <w:adjustRightInd w:val="0"/>
        <w:spacing w:after="0" w:line="240" w:lineRule="auto"/>
        <w:ind w:right="-46"/>
        <w:rPr>
          <w:rFonts w:ascii="Palatino Linotype" w:hAnsi="Palatino Linotype" w:cstheme="minorHAnsi"/>
          <w:sz w:val="20"/>
          <w:szCs w:val="20"/>
          <w:lang w:val="en-US"/>
        </w:rPr>
      </w:pPr>
    </w:p>
    <w:p w:rsidR="00FE65C9" w:rsidRPr="00FE65C9" w:rsidRDefault="00FE65C9" w:rsidP="0038506E">
      <w:pPr>
        <w:autoSpaceDE w:val="0"/>
        <w:autoSpaceDN w:val="0"/>
        <w:adjustRightInd w:val="0"/>
        <w:spacing w:after="0" w:line="240" w:lineRule="auto"/>
        <w:ind w:right="-46"/>
        <w:rPr>
          <w:rFonts w:ascii="Palatino Linotype" w:hAnsi="Palatino Linotype" w:cstheme="minorHAnsi"/>
          <w:sz w:val="20"/>
          <w:szCs w:val="20"/>
          <w:lang w:val="en-US"/>
        </w:rPr>
      </w:pPr>
    </w:p>
    <w:p w:rsidR="00FE65C9" w:rsidRPr="00FE65C9" w:rsidRDefault="00FE65C9" w:rsidP="0038506E">
      <w:pPr>
        <w:autoSpaceDE w:val="0"/>
        <w:autoSpaceDN w:val="0"/>
        <w:adjustRightInd w:val="0"/>
        <w:spacing w:after="0" w:line="240" w:lineRule="auto"/>
        <w:ind w:right="-46"/>
        <w:rPr>
          <w:rFonts w:ascii="Palatino Linotype" w:hAnsi="Palatino Linotype" w:cstheme="minorHAnsi"/>
          <w:sz w:val="20"/>
          <w:szCs w:val="20"/>
          <w:lang w:val="en-US"/>
        </w:rPr>
      </w:pPr>
    </w:p>
    <w:p w:rsidR="00FE65C9" w:rsidRPr="00FE65C9" w:rsidRDefault="00FE65C9" w:rsidP="0038506E">
      <w:pPr>
        <w:autoSpaceDE w:val="0"/>
        <w:autoSpaceDN w:val="0"/>
        <w:adjustRightInd w:val="0"/>
        <w:spacing w:after="0" w:line="240" w:lineRule="auto"/>
        <w:ind w:right="-46"/>
        <w:rPr>
          <w:rFonts w:ascii="Palatino Linotype" w:hAnsi="Palatino Linotype" w:cstheme="minorHAnsi"/>
          <w:sz w:val="20"/>
          <w:szCs w:val="20"/>
          <w:lang w:val="en-US"/>
        </w:rPr>
      </w:pPr>
    </w:p>
    <w:p w:rsidR="00FE65C9" w:rsidRPr="00FE65C9" w:rsidRDefault="00FE65C9" w:rsidP="0038506E">
      <w:pPr>
        <w:autoSpaceDE w:val="0"/>
        <w:autoSpaceDN w:val="0"/>
        <w:adjustRightInd w:val="0"/>
        <w:spacing w:after="0" w:line="240" w:lineRule="auto"/>
        <w:ind w:right="-46"/>
        <w:rPr>
          <w:rFonts w:ascii="Palatino Linotype" w:hAnsi="Palatino Linotype" w:cstheme="minorHAnsi"/>
          <w:sz w:val="20"/>
          <w:szCs w:val="20"/>
          <w:lang w:val="en-US"/>
        </w:rPr>
      </w:pPr>
    </w:p>
    <w:p w:rsidR="00FE65C9" w:rsidRPr="00FE65C9" w:rsidRDefault="00FE65C9" w:rsidP="0038506E">
      <w:pPr>
        <w:autoSpaceDE w:val="0"/>
        <w:autoSpaceDN w:val="0"/>
        <w:adjustRightInd w:val="0"/>
        <w:spacing w:after="0" w:line="240" w:lineRule="auto"/>
        <w:ind w:right="-46"/>
        <w:rPr>
          <w:rFonts w:ascii="Palatino Linotype" w:hAnsi="Palatino Linotype" w:cstheme="minorHAnsi"/>
          <w:sz w:val="20"/>
          <w:szCs w:val="20"/>
          <w:lang w:val="en-US"/>
        </w:rPr>
      </w:pPr>
    </w:p>
    <w:p w:rsidR="00FE65C9" w:rsidRPr="00FE65C9" w:rsidRDefault="00FE65C9" w:rsidP="0038506E">
      <w:pPr>
        <w:autoSpaceDE w:val="0"/>
        <w:autoSpaceDN w:val="0"/>
        <w:adjustRightInd w:val="0"/>
        <w:spacing w:after="0" w:line="240" w:lineRule="auto"/>
        <w:ind w:right="-46"/>
        <w:rPr>
          <w:rFonts w:ascii="Palatino Linotype" w:hAnsi="Palatino Linotype" w:cstheme="minorHAnsi"/>
          <w:sz w:val="20"/>
          <w:szCs w:val="20"/>
          <w:lang w:val="en-US"/>
        </w:rPr>
      </w:pPr>
    </w:p>
    <w:p w:rsidR="00FE65C9" w:rsidRPr="00FE65C9" w:rsidRDefault="00FE65C9" w:rsidP="0038506E">
      <w:pPr>
        <w:autoSpaceDE w:val="0"/>
        <w:autoSpaceDN w:val="0"/>
        <w:adjustRightInd w:val="0"/>
        <w:spacing w:after="0" w:line="240" w:lineRule="auto"/>
        <w:ind w:right="-46"/>
        <w:rPr>
          <w:rFonts w:ascii="Palatino Linotype" w:hAnsi="Palatino Linotype" w:cstheme="minorHAnsi"/>
          <w:sz w:val="20"/>
          <w:szCs w:val="20"/>
          <w:lang w:val="en-US"/>
        </w:rPr>
      </w:pPr>
    </w:p>
    <w:p w:rsidR="00FE65C9" w:rsidRPr="00FE65C9" w:rsidRDefault="00FE65C9" w:rsidP="0038506E">
      <w:pPr>
        <w:autoSpaceDE w:val="0"/>
        <w:autoSpaceDN w:val="0"/>
        <w:adjustRightInd w:val="0"/>
        <w:spacing w:after="0" w:line="240" w:lineRule="auto"/>
        <w:ind w:right="-46"/>
        <w:rPr>
          <w:rFonts w:ascii="Palatino Linotype" w:hAnsi="Palatino Linotype" w:cstheme="minorHAnsi"/>
          <w:sz w:val="20"/>
          <w:szCs w:val="20"/>
          <w:lang w:val="en-US"/>
        </w:rPr>
      </w:pPr>
    </w:p>
    <w:p w:rsidR="00FE65C9" w:rsidRPr="00FE65C9" w:rsidRDefault="00FE65C9" w:rsidP="0038506E">
      <w:pPr>
        <w:autoSpaceDE w:val="0"/>
        <w:autoSpaceDN w:val="0"/>
        <w:adjustRightInd w:val="0"/>
        <w:spacing w:after="0" w:line="240" w:lineRule="auto"/>
        <w:ind w:right="-46"/>
        <w:rPr>
          <w:rFonts w:ascii="Palatino Linotype" w:hAnsi="Palatino Linotype" w:cstheme="minorHAnsi"/>
          <w:sz w:val="20"/>
          <w:szCs w:val="20"/>
          <w:lang w:val="en-US"/>
        </w:rPr>
      </w:pPr>
    </w:p>
    <w:p w:rsidR="00FE65C9" w:rsidRPr="00FE65C9" w:rsidRDefault="00FE65C9" w:rsidP="0038506E">
      <w:pPr>
        <w:autoSpaceDE w:val="0"/>
        <w:autoSpaceDN w:val="0"/>
        <w:adjustRightInd w:val="0"/>
        <w:spacing w:after="0" w:line="240" w:lineRule="auto"/>
        <w:ind w:right="-46"/>
        <w:rPr>
          <w:rFonts w:ascii="Palatino Linotype" w:hAnsi="Palatino Linotype" w:cstheme="minorHAnsi"/>
          <w:sz w:val="20"/>
          <w:szCs w:val="20"/>
          <w:lang w:val="en-US"/>
        </w:rPr>
      </w:pPr>
    </w:p>
    <w:p w:rsidR="00FE65C9" w:rsidRPr="00E9482F" w:rsidRDefault="00FE65C9" w:rsidP="0038506E">
      <w:pPr>
        <w:autoSpaceDE w:val="0"/>
        <w:autoSpaceDN w:val="0"/>
        <w:adjustRightInd w:val="0"/>
        <w:spacing w:after="0" w:line="240" w:lineRule="auto"/>
        <w:ind w:right="-46"/>
        <w:rPr>
          <w:rFonts w:ascii="Palatino Linotype" w:hAnsi="Palatino Linotype" w:cstheme="minorHAnsi"/>
          <w:sz w:val="20"/>
          <w:szCs w:val="20"/>
          <w:lang w:val="en-US"/>
        </w:rPr>
      </w:pPr>
    </w:p>
    <w:sectPr w:rsidR="00FE65C9" w:rsidRPr="00E9482F" w:rsidSect="007E15D2">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56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D99" w:rsidRDefault="000A6D99">
      <w:pPr>
        <w:spacing w:after="0" w:line="240" w:lineRule="auto"/>
      </w:pPr>
      <w:r>
        <w:separator/>
      </w:r>
    </w:p>
  </w:endnote>
  <w:endnote w:type="continuationSeparator" w:id="1">
    <w:p w:rsidR="000A6D99" w:rsidRDefault="000A6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umanst521 Lt BT">
    <w:altName w:val="Arial"/>
    <w:charset w:val="00"/>
    <w:family w:val="swiss"/>
    <w:pitch w:val="default"/>
    <w:sig w:usb0="00000000" w:usb1="00000000" w:usb2="00000000" w:usb3="00000000" w:csb0="00000011" w:csb1="00000000"/>
  </w:font>
  <w:font w:name="Adobe Myungjo Std M">
    <w:altName w:val="Yu Gothic"/>
    <w:charset w:val="80"/>
    <w:family w:val="roman"/>
    <w:pitch w:val="default"/>
    <w:sig w:usb0="00000000" w:usb1="00000000" w:usb2="00000010" w:usb3="00000000" w:csb0="002A0005" w:csb1="00000000"/>
  </w:font>
  <w:font w:name="Humanst521 BT">
    <w:altName w:val="Lucida Sans Unicode"/>
    <w:charset w:val="00"/>
    <w:family w:val="swiss"/>
    <w:pitch w:val="default"/>
    <w:sig w:usb0="00000000" w:usb1="00000000" w:usb2="00000000" w:usb3="00000000" w:csb0="00000011"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077E67">
    <w:pPr>
      <w:pStyle w:val="Footer"/>
      <w:jc w:val="right"/>
      <w:rPr>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83239A">
    <w:pPr>
      <w:pStyle w:val="NoSpacing1"/>
      <w:jc w:val="right"/>
      <w:rPr>
        <w:rFonts w:ascii="Calisto MT" w:hAnsi="Calisto MT"/>
        <w:b/>
        <w:sz w:val="20"/>
        <w:szCs w:val="20"/>
        <w:lang w:val="en-US"/>
      </w:rPr>
    </w:pPr>
    <w:r>
      <w:rPr>
        <w:rFonts w:ascii="Humanst521 Lt BT" w:eastAsia="Adobe Myungjo Std M" w:hAnsi="Humanst521 Lt BT"/>
        <w:sz w:val="16"/>
        <w:lang w:val="en-US"/>
      </w:rPr>
      <w:t>PROCEEDINGS |</w:t>
    </w:r>
    <w:r w:rsidR="00A30D3F">
      <w:rPr>
        <w:rFonts w:ascii="Humanst521 Lt BT" w:eastAsia="Adobe Myungjo Std M" w:hAnsi="Humanst521 Lt BT"/>
        <w:sz w:val="16"/>
        <w:lang w:val="en-US"/>
      </w:rPr>
      <w:t xml:space="preserve"> the 1</w:t>
    </w:r>
    <w:r w:rsidR="00A30D3F">
      <w:rPr>
        <w:rFonts w:ascii="Humanst521 Lt BT" w:eastAsia="Adobe Myungjo Std M" w:hAnsi="Humanst521 Lt BT"/>
        <w:sz w:val="16"/>
        <w:vertAlign w:val="superscript"/>
        <w:lang w:val="en-US"/>
      </w:rPr>
      <w:t>st</w:t>
    </w:r>
    <w:r w:rsidR="00A30D3F">
      <w:rPr>
        <w:rFonts w:ascii="Humanst521 Lt BT" w:eastAsia="Adobe Myungjo Std M" w:hAnsi="Humanst521 Lt BT"/>
        <w:sz w:val="16"/>
        <w:lang w:val="en-US"/>
      </w:rPr>
      <w:t>Padang International Confe</w:t>
    </w:r>
    <w:r w:rsidR="004C545C">
      <w:rPr>
        <w:rFonts w:ascii="Humanst521 Lt BT" w:eastAsia="Adobe Myungjo Std M" w:hAnsi="Humanst521 Lt BT"/>
        <w:sz w:val="16"/>
        <w:lang w:val="en-US"/>
      </w:rPr>
      <w:t>rence on Education, Economics, B</w:t>
    </w:r>
    <w:r w:rsidR="00A30D3F">
      <w:rPr>
        <w:rFonts w:ascii="Humanst521 Lt BT" w:eastAsia="Adobe Myungjo Std M" w:hAnsi="Humanst521 Lt BT"/>
        <w:sz w:val="16"/>
        <w:lang w:val="en-US"/>
      </w:rPr>
      <w:t xml:space="preserve">usiness and Accounting </w:t>
    </w:r>
    <w:r>
      <w:rPr>
        <w:rFonts w:ascii="Humanst521 Lt BT" w:eastAsia="Adobe Myungjo Std M" w:hAnsi="Humanst521 Lt BT"/>
        <w:sz w:val="16"/>
        <w:lang w:val="en-US"/>
      </w:rPr>
      <w:t xml:space="preserve"> 2018</w:t>
    </w:r>
  </w:p>
  <w:p w:rsidR="00077E67" w:rsidRDefault="00077E67">
    <w:pPr>
      <w:pStyle w:val="Footer"/>
      <w:jc w:val="right"/>
      <w:rPr>
        <w:rFonts w:ascii="Humanst521 Lt BT" w:hAnsi="Humanst521 Lt BT"/>
        <w:sz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83239A">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D99" w:rsidRDefault="000A6D99">
      <w:pPr>
        <w:spacing w:after="0" w:line="240" w:lineRule="auto"/>
      </w:pPr>
      <w:r>
        <w:separator/>
      </w:r>
    </w:p>
  </w:footnote>
  <w:footnote w:type="continuationSeparator" w:id="1">
    <w:p w:rsidR="000A6D99" w:rsidRDefault="000A6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5C" w:rsidRDefault="004C545C" w:rsidP="004C545C">
    <w:pPr>
      <w:pStyle w:val="Header"/>
      <w:jc w:val="center"/>
      <w:rPr>
        <w:rFonts w:ascii="Humanst521 Lt BT" w:eastAsia="Adobe Myungjo Std M" w:hAnsi="Humanst521 Lt BT"/>
        <w:sz w:val="16"/>
        <w:lang w:val="en-US"/>
      </w:rPr>
    </w:pPr>
    <w:r>
      <w:rPr>
        <w:rFonts w:ascii="Humanst521 Lt BT" w:eastAsia="Adobe Myungjo Std M" w:hAnsi="Humanst521 Lt BT"/>
        <w:sz w:val="16"/>
        <w:lang w:val="en-US"/>
      </w:rPr>
      <w:t>Author name,  Title (Example: Syahrizal et al, Emotional Performance as…..)</w:t>
    </w:r>
  </w:p>
  <w:p w:rsidR="00077E67" w:rsidRDefault="0091132C">
    <w:pPr>
      <w:pStyle w:val="Header"/>
      <w:jc w:val="right"/>
      <w:rPr>
        <w:rFonts w:ascii="Humanst521 BT" w:hAnsi="Humanst521 BT"/>
      </w:rPr>
    </w:pPr>
    <w:r>
      <w:rPr>
        <w:rFonts w:ascii="Humanst521 BT" w:hAnsi="Humanst521 BT"/>
      </w:rPr>
      <w:fldChar w:fldCharType="begin"/>
    </w:r>
    <w:r w:rsidR="0083239A">
      <w:rPr>
        <w:rFonts w:ascii="Humanst521 BT" w:hAnsi="Humanst521 BT"/>
      </w:rPr>
      <w:instrText xml:space="preserve"> PAGE   \* MERGEFORMAT </w:instrText>
    </w:r>
    <w:r>
      <w:rPr>
        <w:rFonts w:ascii="Humanst521 BT" w:hAnsi="Humanst521 BT"/>
      </w:rPr>
      <w:fldChar w:fldCharType="separate"/>
    </w:r>
    <w:r w:rsidR="000D4639">
      <w:rPr>
        <w:rFonts w:ascii="Humanst521 BT" w:hAnsi="Humanst521 BT"/>
        <w:noProof/>
      </w:rPr>
      <w:t>9</w:t>
    </w:r>
    <w:r>
      <w:rPr>
        <w:rFonts w:ascii="Humanst521 BT" w:hAnsi="Humanst521 BT"/>
      </w:rPr>
      <w:fldChar w:fldCharType="end"/>
    </w:r>
  </w:p>
  <w:p w:rsidR="00077E67" w:rsidRDefault="00077E67">
    <w:pPr>
      <w:pStyle w:val="Header"/>
      <w:jc w:val="right"/>
      <w:rPr>
        <w:sz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91132C">
    <w:pPr>
      <w:pStyle w:val="Header"/>
      <w:tabs>
        <w:tab w:val="clear" w:pos="4513"/>
        <w:tab w:val="clear" w:pos="9026"/>
        <w:tab w:val="left" w:pos="1942"/>
      </w:tabs>
      <w:ind w:left="-142"/>
      <w:jc w:val="right"/>
      <w:rPr>
        <w:rFonts w:ascii="Calisto MT" w:hAnsi="Calisto MT"/>
        <w:b/>
        <w:szCs w:val="20"/>
        <w:lang w:val="en-US"/>
      </w:rPr>
    </w:pPr>
    <w:r w:rsidRPr="0091132C">
      <w:rPr>
        <w:noProof/>
        <w:lang w:val="en-US"/>
      </w:rPr>
      <w:pict>
        <v:shapetype id="_x0000_t202" coordsize="21600,21600" o:spt="202" path="m,l,21600r21600,l21600,xe">
          <v:stroke joinstyle="miter"/>
          <v:path gradientshapeok="t" o:connecttype="rect"/>
        </v:shapetype>
        <v:shape id="_x0000_s4097" type="#_x0000_t202" style="position:absolute;left:0;text-align:left;margin-left:3pt;margin-top:4.65pt;width:75.85pt;height:44.25pt;z-index:251660288" o:gfxdata="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NSdeB0wAAAAYBAAAPAAAAAAAAAAEAIAAAACIAAABkcnMvZG93bnJl&#10;di54bWxQSwECFAAUAAAACACHTuJA+w+eezsCAAB/BAAADgAAAAAAAAABACAAAAAiAQAAZHJzL2Uy&#10;b0RvYy54bWxQSwUGAAAAAAYABgBZAQAAzwUAAAAA&#10;" strokeweight=".5pt">
          <v:stroke joinstyle="round"/>
          <v:textbox style="mso-next-textbox:#_x0000_s4097">
            <w:txbxContent>
              <w:p w:rsidR="00547D5D" w:rsidRDefault="00194628">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547D5D" w:rsidRDefault="00194628">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547D5D" w:rsidRDefault="00194628">
                <w:pPr>
                  <w:spacing w:after="0" w:line="240" w:lineRule="auto"/>
                  <w:jc w:val="center"/>
                  <w:rPr>
                    <w:b/>
                    <w:bCs/>
                    <w:sz w:val="16"/>
                    <w:szCs w:val="16"/>
                    <w:lang w:val="en-US"/>
                  </w:rPr>
                </w:pPr>
                <w:r>
                  <w:rPr>
                    <w:b/>
                    <w:bCs/>
                    <w:sz w:val="20"/>
                    <w:szCs w:val="20"/>
                    <w:lang w:val="en-US"/>
                  </w:rPr>
                  <w:t>-- 2018 --</w:t>
                </w:r>
              </w:p>
              <w:p w:rsidR="00547D5D" w:rsidRDefault="00547D5D">
                <w:pPr>
                  <w:jc w:val="center"/>
                  <w:rPr>
                    <w:b/>
                    <w:bCs/>
                    <w:lang w:val="en-US"/>
                  </w:rPr>
                </w:pPr>
              </w:p>
            </w:txbxContent>
          </v:textbox>
        </v:shape>
      </w:pict>
    </w:r>
    <w:r w:rsidR="0083239A">
      <w:rPr>
        <w:rFonts w:ascii="Calisto MT" w:hAnsi="Calisto MT"/>
        <w:b/>
        <w:szCs w:val="20"/>
        <w:lang w:val="en-US"/>
      </w:rPr>
      <w:t xml:space="preserve">PROCEEDING </w:t>
    </w:r>
    <w:r w:rsidR="0083239A">
      <w:rPr>
        <w:rFonts w:ascii="Calisto MT" w:hAnsi="Calisto MT"/>
        <w:b/>
        <w:sz w:val="28"/>
        <w:szCs w:val="32"/>
        <w:lang w:val="en-US"/>
      </w:rPr>
      <w:t>|</w:t>
    </w:r>
    <w:r w:rsidR="0083239A">
      <w:rPr>
        <w:rFonts w:ascii="Calisto MT" w:hAnsi="Calisto MT"/>
        <w:b/>
        <w:szCs w:val="20"/>
        <w:lang w:val="en-US"/>
      </w:rPr>
      <w:t xml:space="preserve"> The 1</w:t>
    </w:r>
    <w:r w:rsidR="0083239A">
      <w:rPr>
        <w:rFonts w:ascii="Calisto MT" w:hAnsi="Calisto MT"/>
        <w:b/>
        <w:szCs w:val="20"/>
        <w:vertAlign w:val="superscript"/>
        <w:lang w:val="en-US"/>
      </w:rPr>
      <w:t xml:space="preserve">st </w:t>
    </w:r>
    <w:r w:rsidR="0083239A">
      <w:rPr>
        <w:rFonts w:ascii="Calisto MT" w:hAnsi="Calisto MT"/>
        <w:b/>
        <w:szCs w:val="20"/>
        <w:lang w:val="en-US"/>
      </w:rPr>
      <w:t>PICEEBA 2018</w:t>
    </w:r>
  </w:p>
  <w:p w:rsidR="00077E67" w:rsidRDefault="0083239A">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p>
  <w:p w:rsidR="00077E67" w:rsidRPr="00A30D3F" w:rsidRDefault="00077E67">
    <w:pPr>
      <w:pStyle w:val="NoSpacing1"/>
      <w:pBdr>
        <w:bottom w:val="single" w:sz="4" w:space="1" w:color="auto"/>
      </w:pBdr>
      <w:jc w:val="both"/>
      <w:rPr>
        <w:rFonts w:ascii="Calisto MT" w:hAnsi="Calisto MT"/>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6632A4"/>
    <w:multiLevelType w:val="hybridMultilevel"/>
    <w:tmpl w:val="FB743F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302E3D"/>
    <w:multiLevelType w:val="hybridMultilevel"/>
    <w:tmpl w:val="4114183C"/>
    <w:lvl w:ilvl="0" w:tplc="544E9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E419E3"/>
    <w:multiLevelType w:val="hybridMultilevel"/>
    <w:tmpl w:val="A834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510358"/>
    <w:multiLevelType w:val="hybridMultilevel"/>
    <w:tmpl w:val="AF0E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9"/>
  </w:num>
  <w:num w:numId="7">
    <w:abstractNumId w:val="7"/>
  </w:num>
  <w:num w:numId="8">
    <w:abstractNumId w:val="6"/>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9218" fillcolor="white">
      <v:fill color="white"/>
    </o:shapedefaults>
    <o:shapelayout v:ext="edit">
      <o:idmap v:ext="edit" data="4"/>
    </o:shapelayout>
  </w:hdrShapeDefaults>
  <w:footnotePr>
    <w:footnote w:id="0"/>
    <w:footnote w:id="1"/>
  </w:footnotePr>
  <w:endnotePr>
    <w:endnote w:id="0"/>
    <w:endnote w:id="1"/>
  </w:endnotePr>
  <w:compat/>
  <w:rsids>
    <w:rsidRoot w:val="00816279"/>
    <w:rsid w:val="00011F13"/>
    <w:rsid w:val="00016116"/>
    <w:rsid w:val="00031116"/>
    <w:rsid w:val="00033162"/>
    <w:rsid w:val="0004769D"/>
    <w:rsid w:val="000522B3"/>
    <w:rsid w:val="000547FE"/>
    <w:rsid w:val="000566C6"/>
    <w:rsid w:val="000638D5"/>
    <w:rsid w:val="00066857"/>
    <w:rsid w:val="00067380"/>
    <w:rsid w:val="00071DA6"/>
    <w:rsid w:val="000761F9"/>
    <w:rsid w:val="000779D9"/>
    <w:rsid w:val="00077E67"/>
    <w:rsid w:val="00080498"/>
    <w:rsid w:val="000846D4"/>
    <w:rsid w:val="000A05AC"/>
    <w:rsid w:val="000A59F8"/>
    <w:rsid w:val="000A6D99"/>
    <w:rsid w:val="000A77D3"/>
    <w:rsid w:val="000B287B"/>
    <w:rsid w:val="000B7207"/>
    <w:rsid w:val="000C6030"/>
    <w:rsid w:val="000D4639"/>
    <w:rsid w:val="000E3C42"/>
    <w:rsid w:val="000E68D4"/>
    <w:rsid w:val="000F2036"/>
    <w:rsid w:val="000F4CB4"/>
    <w:rsid w:val="001029EF"/>
    <w:rsid w:val="00103DA8"/>
    <w:rsid w:val="0010540A"/>
    <w:rsid w:val="00111421"/>
    <w:rsid w:val="001165C1"/>
    <w:rsid w:val="00127874"/>
    <w:rsid w:val="0013085E"/>
    <w:rsid w:val="001311B1"/>
    <w:rsid w:val="001362FF"/>
    <w:rsid w:val="00141AFF"/>
    <w:rsid w:val="0014381E"/>
    <w:rsid w:val="00144551"/>
    <w:rsid w:val="001446EA"/>
    <w:rsid w:val="00153C07"/>
    <w:rsid w:val="00175703"/>
    <w:rsid w:val="00175A81"/>
    <w:rsid w:val="001903A3"/>
    <w:rsid w:val="00194628"/>
    <w:rsid w:val="00195ADC"/>
    <w:rsid w:val="00195B71"/>
    <w:rsid w:val="001A348F"/>
    <w:rsid w:val="001A65F1"/>
    <w:rsid w:val="001B0DA2"/>
    <w:rsid w:val="001D4475"/>
    <w:rsid w:val="001E38DD"/>
    <w:rsid w:val="0022397C"/>
    <w:rsid w:val="00226128"/>
    <w:rsid w:val="00236969"/>
    <w:rsid w:val="00240B25"/>
    <w:rsid w:val="002422F1"/>
    <w:rsid w:val="00244E99"/>
    <w:rsid w:val="0025207F"/>
    <w:rsid w:val="00253A77"/>
    <w:rsid w:val="00253D4D"/>
    <w:rsid w:val="00293A59"/>
    <w:rsid w:val="00293E7F"/>
    <w:rsid w:val="002A37D5"/>
    <w:rsid w:val="002C15BF"/>
    <w:rsid w:val="002C3163"/>
    <w:rsid w:val="002D027E"/>
    <w:rsid w:val="002E1D3E"/>
    <w:rsid w:val="002E4B40"/>
    <w:rsid w:val="002F0A6E"/>
    <w:rsid w:val="0030774B"/>
    <w:rsid w:val="00315759"/>
    <w:rsid w:val="00320C61"/>
    <w:rsid w:val="00322EA4"/>
    <w:rsid w:val="003302A9"/>
    <w:rsid w:val="003307CB"/>
    <w:rsid w:val="00342A66"/>
    <w:rsid w:val="00346200"/>
    <w:rsid w:val="00353BD3"/>
    <w:rsid w:val="00354A9E"/>
    <w:rsid w:val="003749FB"/>
    <w:rsid w:val="0037717A"/>
    <w:rsid w:val="0038506E"/>
    <w:rsid w:val="00385500"/>
    <w:rsid w:val="0038741C"/>
    <w:rsid w:val="00391683"/>
    <w:rsid w:val="003A3557"/>
    <w:rsid w:val="003A4162"/>
    <w:rsid w:val="003B784A"/>
    <w:rsid w:val="003C082C"/>
    <w:rsid w:val="003C2E4F"/>
    <w:rsid w:val="003C7A61"/>
    <w:rsid w:val="0041082F"/>
    <w:rsid w:val="00421BBD"/>
    <w:rsid w:val="004222BC"/>
    <w:rsid w:val="00426FB6"/>
    <w:rsid w:val="004311DD"/>
    <w:rsid w:val="00435539"/>
    <w:rsid w:val="004544E0"/>
    <w:rsid w:val="00461D25"/>
    <w:rsid w:val="00463610"/>
    <w:rsid w:val="0046707F"/>
    <w:rsid w:val="004769C3"/>
    <w:rsid w:val="00481DBC"/>
    <w:rsid w:val="004821FF"/>
    <w:rsid w:val="004A6BC8"/>
    <w:rsid w:val="004B34E2"/>
    <w:rsid w:val="004B3F3D"/>
    <w:rsid w:val="004C02EA"/>
    <w:rsid w:val="004C1BD4"/>
    <w:rsid w:val="004C2DD5"/>
    <w:rsid w:val="004C545C"/>
    <w:rsid w:val="004C605A"/>
    <w:rsid w:val="004D3415"/>
    <w:rsid w:val="004D7D98"/>
    <w:rsid w:val="004E1DA0"/>
    <w:rsid w:val="004E3B53"/>
    <w:rsid w:val="004F7C3D"/>
    <w:rsid w:val="00506792"/>
    <w:rsid w:val="00507B47"/>
    <w:rsid w:val="00515867"/>
    <w:rsid w:val="005218EB"/>
    <w:rsid w:val="00532A9E"/>
    <w:rsid w:val="00546627"/>
    <w:rsid w:val="00547D5D"/>
    <w:rsid w:val="00547E24"/>
    <w:rsid w:val="00550DC0"/>
    <w:rsid w:val="00553452"/>
    <w:rsid w:val="00554FD3"/>
    <w:rsid w:val="005559BD"/>
    <w:rsid w:val="00556EF7"/>
    <w:rsid w:val="005617FA"/>
    <w:rsid w:val="00571718"/>
    <w:rsid w:val="00580392"/>
    <w:rsid w:val="00583BA5"/>
    <w:rsid w:val="00595A4B"/>
    <w:rsid w:val="00596882"/>
    <w:rsid w:val="005A3233"/>
    <w:rsid w:val="005A3C29"/>
    <w:rsid w:val="005B2779"/>
    <w:rsid w:val="005B39DA"/>
    <w:rsid w:val="005B4AA2"/>
    <w:rsid w:val="005B72FA"/>
    <w:rsid w:val="005C4536"/>
    <w:rsid w:val="005D4F37"/>
    <w:rsid w:val="005E5BCA"/>
    <w:rsid w:val="00614786"/>
    <w:rsid w:val="0062175B"/>
    <w:rsid w:val="00625A3D"/>
    <w:rsid w:val="006334F7"/>
    <w:rsid w:val="00635551"/>
    <w:rsid w:val="0064087B"/>
    <w:rsid w:val="00643CEC"/>
    <w:rsid w:val="00644D1D"/>
    <w:rsid w:val="00661619"/>
    <w:rsid w:val="00661FB0"/>
    <w:rsid w:val="00662CCE"/>
    <w:rsid w:val="006634C4"/>
    <w:rsid w:val="0067274E"/>
    <w:rsid w:val="006773D5"/>
    <w:rsid w:val="00680F83"/>
    <w:rsid w:val="00683D5E"/>
    <w:rsid w:val="0069276A"/>
    <w:rsid w:val="00694276"/>
    <w:rsid w:val="00697636"/>
    <w:rsid w:val="006B1F43"/>
    <w:rsid w:val="006E10F0"/>
    <w:rsid w:val="006E51C8"/>
    <w:rsid w:val="006F37D0"/>
    <w:rsid w:val="006F7F8E"/>
    <w:rsid w:val="007340B4"/>
    <w:rsid w:val="00750415"/>
    <w:rsid w:val="00772751"/>
    <w:rsid w:val="007A0226"/>
    <w:rsid w:val="007B0CB3"/>
    <w:rsid w:val="007B6718"/>
    <w:rsid w:val="007C054C"/>
    <w:rsid w:val="007C31C2"/>
    <w:rsid w:val="007C4FBD"/>
    <w:rsid w:val="007C755D"/>
    <w:rsid w:val="007E15D2"/>
    <w:rsid w:val="007F0C47"/>
    <w:rsid w:val="0080199D"/>
    <w:rsid w:val="0080719E"/>
    <w:rsid w:val="00816279"/>
    <w:rsid w:val="0081721F"/>
    <w:rsid w:val="00825A8F"/>
    <w:rsid w:val="0083239A"/>
    <w:rsid w:val="00832DF8"/>
    <w:rsid w:val="00841BC0"/>
    <w:rsid w:val="0084423F"/>
    <w:rsid w:val="00867B2D"/>
    <w:rsid w:val="008723E3"/>
    <w:rsid w:val="00881BD1"/>
    <w:rsid w:val="00882530"/>
    <w:rsid w:val="00897401"/>
    <w:rsid w:val="008A2262"/>
    <w:rsid w:val="008B5EAA"/>
    <w:rsid w:val="008D642C"/>
    <w:rsid w:val="008F3630"/>
    <w:rsid w:val="008F7B44"/>
    <w:rsid w:val="008F7EAC"/>
    <w:rsid w:val="009024FF"/>
    <w:rsid w:val="009068EA"/>
    <w:rsid w:val="0091132C"/>
    <w:rsid w:val="00923A79"/>
    <w:rsid w:val="00930905"/>
    <w:rsid w:val="009325FE"/>
    <w:rsid w:val="00934020"/>
    <w:rsid w:val="00935172"/>
    <w:rsid w:val="00942F16"/>
    <w:rsid w:val="009434FE"/>
    <w:rsid w:val="009445EE"/>
    <w:rsid w:val="009651D0"/>
    <w:rsid w:val="00977E7C"/>
    <w:rsid w:val="00982F8A"/>
    <w:rsid w:val="0098322B"/>
    <w:rsid w:val="00983276"/>
    <w:rsid w:val="009903C6"/>
    <w:rsid w:val="009C4EE9"/>
    <w:rsid w:val="009C5FFA"/>
    <w:rsid w:val="009C746D"/>
    <w:rsid w:val="009D6A65"/>
    <w:rsid w:val="009E3040"/>
    <w:rsid w:val="009F7B6F"/>
    <w:rsid w:val="00A065FB"/>
    <w:rsid w:val="00A143ED"/>
    <w:rsid w:val="00A21355"/>
    <w:rsid w:val="00A25BBF"/>
    <w:rsid w:val="00A26C19"/>
    <w:rsid w:val="00A30D3F"/>
    <w:rsid w:val="00A323D9"/>
    <w:rsid w:val="00A334FD"/>
    <w:rsid w:val="00A367BF"/>
    <w:rsid w:val="00A45EBE"/>
    <w:rsid w:val="00A46D45"/>
    <w:rsid w:val="00A54D82"/>
    <w:rsid w:val="00A6204F"/>
    <w:rsid w:val="00A63EB2"/>
    <w:rsid w:val="00A8300A"/>
    <w:rsid w:val="00A83B74"/>
    <w:rsid w:val="00AA3C39"/>
    <w:rsid w:val="00AD0A71"/>
    <w:rsid w:val="00AE1F61"/>
    <w:rsid w:val="00B0114C"/>
    <w:rsid w:val="00B05DA6"/>
    <w:rsid w:val="00B06817"/>
    <w:rsid w:val="00B07881"/>
    <w:rsid w:val="00B25F2A"/>
    <w:rsid w:val="00B27F6A"/>
    <w:rsid w:val="00B425E7"/>
    <w:rsid w:val="00B44035"/>
    <w:rsid w:val="00B52D36"/>
    <w:rsid w:val="00B723E2"/>
    <w:rsid w:val="00B83E1C"/>
    <w:rsid w:val="00B973FB"/>
    <w:rsid w:val="00BA0647"/>
    <w:rsid w:val="00BA0C42"/>
    <w:rsid w:val="00BA1774"/>
    <w:rsid w:val="00BA7FDC"/>
    <w:rsid w:val="00BB4E24"/>
    <w:rsid w:val="00BC485E"/>
    <w:rsid w:val="00BD5F8D"/>
    <w:rsid w:val="00BF213E"/>
    <w:rsid w:val="00BF5B3C"/>
    <w:rsid w:val="00BF613C"/>
    <w:rsid w:val="00BF6B5E"/>
    <w:rsid w:val="00C07620"/>
    <w:rsid w:val="00C127EF"/>
    <w:rsid w:val="00C2488D"/>
    <w:rsid w:val="00C271D7"/>
    <w:rsid w:val="00C30364"/>
    <w:rsid w:val="00C3344C"/>
    <w:rsid w:val="00C50CAF"/>
    <w:rsid w:val="00C6005E"/>
    <w:rsid w:val="00C63D90"/>
    <w:rsid w:val="00C72748"/>
    <w:rsid w:val="00C73D09"/>
    <w:rsid w:val="00C848A6"/>
    <w:rsid w:val="00C9353C"/>
    <w:rsid w:val="00C958CB"/>
    <w:rsid w:val="00C979A5"/>
    <w:rsid w:val="00CA18A4"/>
    <w:rsid w:val="00CA2C35"/>
    <w:rsid w:val="00CA36FB"/>
    <w:rsid w:val="00CB1AD5"/>
    <w:rsid w:val="00CC094F"/>
    <w:rsid w:val="00CC4D46"/>
    <w:rsid w:val="00CC53A7"/>
    <w:rsid w:val="00CD03B5"/>
    <w:rsid w:val="00CD2296"/>
    <w:rsid w:val="00CD2D3A"/>
    <w:rsid w:val="00CE148B"/>
    <w:rsid w:val="00CE5F12"/>
    <w:rsid w:val="00CE62E0"/>
    <w:rsid w:val="00CF03AC"/>
    <w:rsid w:val="00CF1D75"/>
    <w:rsid w:val="00CF2BA0"/>
    <w:rsid w:val="00D01FD7"/>
    <w:rsid w:val="00D1118D"/>
    <w:rsid w:val="00D37183"/>
    <w:rsid w:val="00D47D05"/>
    <w:rsid w:val="00D62111"/>
    <w:rsid w:val="00D632E9"/>
    <w:rsid w:val="00D723A2"/>
    <w:rsid w:val="00D72DCA"/>
    <w:rsid w:val="00D81D2A"/>
    <w:rsid w:val="00D9289B"/>
    <w:rsid w:val="00DA692F"/>
    <w:rsid w:val="00DB0871"/>
    <w:rsid w:val="00DD0375"/>
    <w:rsid w:val="00DD0F2D"/>
    <w:rsid w:val="00DE1649"/>
    <w:rsid w:val="00DE66FC"/>
    <w:rsid w:val="00DF522D"/>
    <w:rsid w:val="00E0171A"/>
    <w:rsid w:val="00E05980"/>
    <w:rsid w:val="00E103B3"/>
    <w:rsid w:val="00E1216D"/>
    <w:rsid w:val="00E15FF3"/>
    <w:rsid w:val="00E2065A"/>
    <w:rsid w:val="00E21793"/>
    <w:rsid w:val="00E229AD"/>
    <w:rsid w:val="00E252A7"/>
    <w:rsid w:val="00E37F69"/>
    <w:rsid w:val="00E505E3"/>
    <w:rsid w:val="00E50631"/>
    <w:rsid w:val="00E50755"/>
    <w:rsid w:val="00E54F9B"/>
    <w:rsid w:val="00E5555B"/>
    <w:rsid w:val="00E654E6"/>
    <w:rsid w:val="00E65D06"/>
    <w:rsid w:val="00E84C5E"/>
    <w:rsid w:val="00E87780"/>
    <w:rsid w:val="00E9482F"/>
    <w:rsid w:val="00EA3A6B"/>
    <w:rsid w:val="00EA591C"/>
    <w:rsid w:val="00EC0571"/>
    <w:rsid w:val="00EC4309"/>
    <w:rsid w:val="00EC6817"/>
    <w:rsid w:val="00EC6911"/>
    <w:rsid w:val="00ED1A76"/>
    <w:rsid w:val="00ED707E"/>
    <w:rsid w:val="00ED7941"/>
    <w:rsid w:val="00ED7C00"/>
    <w:rsid w:val="00EE1A20"/>
    <w:rsid w:val="00EE571A"/>
    <w:rsid w:val="00EE7806"/>
    <w:rsid w:val="00EF4848"/>
    <w:rsid w:val="00EF7F2D"/>
    <w:rsid w:val="00F02A3C"/>
    <w:rsid w:val="00F039B5"/>
    <w:rsid w:val="00F04BB8"/>
    <w:rsid w:val="00F0539A"/>
    <w:rsid w:val="00F06CDB"/>
    <w:rsid w:val="00F10D6F"/>
    <w:rsid w:val="00F22247"/>
    <w:rsid w:val="00F3106F"/>
    <w:rsid w:val="00F315B0"/>
    <w:rsid w:val="00F31E3A"/>
    <w:rsid w:val="00F448CC"/>
    <w:rsid w:val="00F46EDA"/>
    <w:rsid w:val="00F55A7C"/>
    <w:rsid w:val="00F96DCF"/>
    <w:rsid w:val="00FA3E09"/>
    <w:rsid w:val="00FC06A1"/>
    <w:rsid w:val="00FC75A9"/>
    <w:rsid w:val="00FD55B6"/>
    <w:rsid w:val="00FE1A89"/>
    <w:rsid w:val="00FE65C9"/>
    <w:rsid w:val="00FE6E88"/>
    <w:rsid w:val="00FE7F42"/>
    <w:rsid w:val="00FF2A18"/>
    <w:rsid w:val="00FF7B7C"/>
    <w:rsid w:val="03957687"/>
    <w:rsid w:val="39123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5D"/>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47D5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rsid w:val="00547D5D"/>
    <w:pPr>
      <w:spacing w:after="120"/>
      <w:ind w:left="283"/>
    </w:pPr>
  </w:style>
  <w:style w:type="paragraph" w:styleId="BodyTextIndent2">
    <w:name w:val="Body Text Indent 2"/>
    <w:basedOn w:val="Normal"/>
    <w:link w:val="BodyTextIndent2Char"/>
    <w:uiPriority w:val="99"/>
    <w:unhideWhenUsed/>
    <w:qFormat/>
    <w:rsid w:val="00547D5D"/>
    <w:pPr>
      <w:spacing w:after="120" w:line="480" w:lineRule="auto"/>
      <w:ind w:left="283"/>
    </w:pPr>
  </w:style>
  <w:style w:type="paragraph" w:styleId="Footer">
    <w:name w:val="footer"/>
    <w:basedOn w:val="Normal"/>
    <w:link w:val="FooterChar"/>
    <w:uiPriority w:val="99"/>
    <w:unhideWhenUsed/>
    <w:qFormat/>
    <w:rsid w:val="00547D5D"/>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547D5D"/>
    <w:pPr>
      <w:spacing w:after="0" w:line="240" w:lineRule="auto"/>
    </w:pPr>
    <w:rPr>
      <w:sz w:val="20"/>
      <w:szCs w:val="20"/>
    </w:rPr>
  </w:style>
  <w:style w:type="paragraph" w:styleId="Header">
    <w:name w:val="header"/>
    <w:basedOn w:val="Normal"/>
    <w:link w:val="HeaderChar"/>
    <w:uiPriority w:val="99"/>
    <w:unhideWhenUsed/>
    <w:rsid w:val="00547D5D"/>
    <w:pPr>
      <w:tabs>
        <w:tab w:val="center" w:pos="4513"/>
        <w:tab w:val="right" w:pos="9026"/>
      </w:tabs>
      <w:spacing w:after="0" w:line="240" w:lineRule="auto"/>
    </w:pPr>
  </w:style>
  <w:style w:type="character" w:styleId="FollowedHyperlink">
    <w:name w:val="FollowedHyperlink"/>
    <w:uiPriority w:val="99"/>
    <w:unhideWhenUsed/>
    <w:qFormat/>
    <w:rsid w:val="00547D5D"/>
    <w:rPr>
      <w:color w:val="800080"/>
      <w:u w:val="single"/>
    </w:rPr>
  </w:style>
  <w:style w:type="character" w:styleId="FootnoteReference">
    <w:name w:val="footnote reference"/>
    <w:uiPriority w:val="99"/>
    <w:unhideWhenUsed/>
    <w:qFormat/>
    <w:rsid w:val="00547D5D"/>
    <w:rPr>
      <w:vertAlign w:val="superscript"/>
    </w:rPr>
  </w:style>
  <w:style w:type="character" w:styleId="Hyperlink">
    <w:name w:val="Hyperlink"/>
    <w:uiPriority w:val="99"/>
    <w:unhideWhenUsed/>
    <w:rsid w:val="00547D5D"/>
    <w:rPr>
      <w:color w:val="0000FF"/>
      <w:u w:val="single"/>
    </w:rPr>
  </w:style>
  <w:style w:type="table" w:styleId="TableGrid">
    <w:name w:val="Table Grid"/>
    <w:basedOn w:val="TableNormal"/>
    <w:uiPriority w:val="59"/>
    <w:unhideWhenUsed/>
    <w:qFormat/>
    <w:rsid w:val="0054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547D5D"/>
    <w:pPr>
      <w:ind w:left="720"/>
      <w:contextualSpacing/>
    </w:pPr>
  </w:style>
  <w:style w:type="character" w:customStyle="1" w:styleId="FootnoteTextChar">
    <w:name w:val="Footnote Text Char"/>
    <w:link w:val="FootnoteText"/>
    <w:uiPriority w:val="99"/>
    <w:semiHidden/>
    <w:qFormat/>
    <w:rsid w:val="00547D5D"/>
    <w:rPr>
      <w:sz w:val="20"/>
      <w:szCs w:val="20"/>
    </w:rPr>
  </w:style>
  <w:style w:type="character" w:customStyle="1" w:styleId="BodyTextIndentChar">
    <w:name w:val="Body Text Indent Char"/>
    <w:basedOn w:val="DefaultParagraphFont"/>
    <w:link w:val="BodyTextIndent"/>
    <w:uiPriority w:val="99"/>
    <w:semiHidden/>
    <w:rsid w:val="00547D5D"/>
  </w:style>
  <w:style w:type="character" w:customStyle="1" w:styleId="BodyTextIndent2Char">
    <w:name w:val="Body Text Indent 2 Char"/>
    <w:basedOn w:val="DefaultParagraphFont"/>
    <w:link w:val="BodyTextIndent2"/>
    <w:uiPriority w:val="99"/>
    <w:qFormat/>
    <w:rsid w:val="00547D5D"/>
  </w:style>
  <w:style w:type="character" w:customStyle="1" w:styleId="HeaderChar">
    <w:name w:val="Header Char"/>
    <w:basedOn w:val="DefaultParagraphFont"/>
    <w:link w:val="Header"/>
    <w:uiPriority w:val="99"/>
    <w:rsid w:val="00547D5D"/>
  </w:style>
  <w:style w:type="character" w:customStyle="1" w:styleId="FooterChar">
    <w:name w:val="Footer Char"/>
    <w:basedOn w:val="DefaultParagraphFont"/>
    <w:link w:val="Footer"/>
    <w:uiPriority w:val="99"/>
    <w:qFormat/>
    <w:rsid w:val="00547D5D"/>
  </w:style>
  <w:style w:type="character" w:customStyle="1" w:styleId="BalloonTextChar">
    <w:name w:val="Balloon Text Char"/>
    <w:link w:val="BalloonText"/>
    <w:uiPriority w:val="99"/>
    <w:semiHidden/>
    <w:qFormat/>
    <w:rsid w:val="00547D5D"/>
    <w:rPr>
      <w:rFonts w:ascii="Tahoma" w:hAnsi="Tahoma" w:cs="Tahoma"/>
      <w:sz w:val="16"/>
      <w:szCs w:val="16"/>
    </w:rPr>
  </w:style>
  <w:style w:type="character" w:customStyle="1" w:styleId="hps">
    <w:name w:val="hps"/>
    <w:basedOn w:val="DefaultParagraphFont"/>
    <w:rsid w:val="00547D5D"/>
  </w:style>
  <w:style w:type="table" w:customStyle="1" w:styleId="PlainTable2">
    <w:name w:val="Plain Table 2"/>
    <w:basedOn w:val="TableNormal"/>
    <w:uiPriority w:val="42"/>
    <w:qFormat/>
    <w:rsid w:val="00547D5D"/>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sid w:val="00547D5D"/>
    <w:rPr>
      <w:sz w:val="22"/>
      <w:szCs w:val="22"/>
      <w:lang w:val="id-ID"/>
    </w:rPr>
  </w:style>
  <w:style w:type="paragraph" w:customStyle="1" w:styleId="OpenAcces">
    <w:name w:val="Open Acces"/>
    <w:basedOn w:val="Normal"/>
    <w:link w:val="OpenAccesChar"/>
    <w:qFormat/>
    <w:rsid w:val="00547D5D"/>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sid w:val="00547D5D"/>
    <w:rPr>
      <w:rFonts w:ascii="Arial" w:eastAsia="Times New Roman" w:hAnsi="Arial" w:cs="Arial"/>
      <w:color w:val="000000"/>
      <w:sz w:val="15"/>
      <w:szCs w:val="16"/>
    </w:rPr>
  </w:style>
  <w:style w:type="paragraph" w:styleId="ListParagraph">
    <w:name w:val="List Paragraph"/>
    <w:basedOn w:val="Normal"/>
    <w:uiPriority w:val="34"/>
    <w:qFormat/>
    <w:rsid w:val="007E15D2"/>
    <w:pPr>
      <w:spacing w:after="160" w:line="259" w:lineRule="auto"/>
      <w:ind w:left="720"/>
      <w:contextualSpacing/>
    </w:pPr>
    <w:rPr>
      <w:lang w:val="en-US"/>
    </w:rPr>
  </w:style>
  <w:style w:type="paragraph" w:customStyle="1" w:styleId="Default">
    <w:name w:val="Default"/>
    <w:rsid w:val="007E15D2"/>
    <w:pPr>
      <w:autoSpaceDE w:val="0"/>
      <w:autoSpaceDN w:val="0"/>
      <w:adjustRightInd w:val="0"/>
      <w:spacing w:after="0" w:line="240" w:lineRule="auto"/>
    </w:pPr>
    <w:rPr>
      <w:rFonts w:ascii="Times New Roman" w:hAnsi="Times New Roman"/>
      <w:color w:val="000000"/>
      <w:sz w:val="24"/>
      <w:szCs w:val="24"/>
    </w:rPr>
  </w:style>
  <w:style w:type="paragraph" w:styleId="NoSpacing">
    <w:name w:val="No Spacing"/>
    <w:link w:val="NoSpacingChar"/>
    <w:uiPriority w:val="1"/>
    <w:qFormat/>
    <w:rsid w:val="00FE65C9"/>
    <w:pPr>
      <w:spacing w:after="0" w:line="240" w:lineRule="auto"/>
    </w:pPr>
    <w:rPr>
      <w:rFonts w:ascii="Times New Roman" w:eastAsia="Times New Roman" w:hAnsi="Times New Roman"/>
      <w:sz w:val="24"/>
      <w:szCs w:val="24"/>
    </w:rPr>
  </w:style>
  <w:style w:type="character" w:customStyle="1" w:styleId="NoSpacingChar">
    <w:name w:val="No Spacing Char"/>
    <w:link w:val="NoSpacing"/>
    <w:locked/>
    <w:rsid w:val="00FE65C9"/>
    <w:rPr>
      <w:rFonts w:ascii="Times New Roman" w:eastAsia="Times New Roman" w:hAnsi="Times New Roman"/>
      <w:sz w:val="24"/>
      <w:szCs w:val="24"/>
    </w:rPr>
  </w:style>
  <w:style w:type="character" w:customStyle="1" w:styleId="tlid-translation">
    <w:name w:val="tlid-translation"/>
    <w:rsid w:val="00FE65C9"/>
  </w:style>
  <w:style w:type="character" w:customStyle="1" w:styleId="shorttext">
    <w:name w:val="short_text"/>
    <w:rsid w:val="00FE6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
    <w:name w:val="Plain Table 2"/>
    <w:basedOn w:val="TableNormal"/>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putan6.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yanpahlawan@unilak.ac.id" TargetMode="External"/><Relationship Id="rId4" Type="http://schemas.openxmlformats.org/officeDocument/2006/relationships/styles" Target="styles.xml"/><Relationship Id="rId9" Type="http://schemas.openxmlformats.org/officeDocument/2006/relationships/hyperlink" Target="mailto:pramawidayat@unilak.ac.i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CET\Desktop\Dropbox\IICET%202017\Asean%20Seminar\Template\Research%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0F2708F-1A15-4D89-B73E-12C74AC23F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Research Template English</Template>
  <TotalTime>2</TotalTime>
  <Pages>9</Pages>
  <Words>3681</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IICET</dc:creator>
  <cp:lastModifiedBy>Personal</cp:lastModifiedBy>
  <cp:revision>3</cp:revision>
  <cp:lastPrinted>2017-01-08T16:59:00Z</cp:lastPrinted>
  <dcterms:created xsi:type="dcterms:W3CDTF">2018-06-30T04:55:00Z</dcterms:created>
  <dcterms:modified xsi:type="dcterms:W3CDTF">2018-06-30T04:56:00Z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