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67" w:rsidRDefault="00077E67">
      <w:pPr>
        <w:autoSpaceDE w:val="0"/>
        <w:autoSpaceDN w:val="0"/>
        <w:adjustRightInd w:val="0"/>
        <w:spacing w:after="0" w:line="240" w:lineRule="auto"/>
        <w:ind w:right="-46"/>
        <w:jc w:val="center"/>
        <w:rPr>
          <w:rFonts w:ascii="Palatino Linotype" w:hAnsi="Palatino Linotype" w:cs="Nirmala UI"/>
          <w:b/>
          <w:color w:val="000000" w:themeColor="text1"/>
          <w:sz w:val="30"/>
          <w:szCs w:val="30"/>
          <w:lang w:val="en-US"/>
        </w:rPr>
      </w:pPr>
    </w:p>
    <w:p w:rsidR="00BF5D40" w:rsidRPr="004D1A7F" w:rsidRDefault="00BF5D40" w:rsidP="00BF5D40">
      <w:pPr>
        <w:spacing w:after="0" w:line="240" w:lineRule="auto"/>
        <w:rPr>
          <w:rFonts w:ascii="Palatino Linotype" w:eastAsia="Times New Roman" w:hAnsi="Palatino Linotype"/>
          <w:b/>
          <w:sz w:val="24"/>
          <w:szCs w:val="24"/>
        </w:rPr>
      </w:pPr>
      <w:r w:rsidRPr="004D1A7F">
        <w:rPr>
          <w:rFonts w:ascii="Palatino Linotype" w:eastAsia="Times New Roman" w:hAnsi="Palatino Linotype"/>
          <w:b/>
          <w:sz w:val="24"/>
          <w:szCs w:val="24"/>
          <w:lang w:val="en-US"/>
        </w:rPr>
        <w:t>Profile And Development Model Of Micro, Small And Medium Enterprises (M</w:t>
      </w:r>
      <w:r w:rsidRPr="004D1A7F">
        <w:rPr>
          <w:rFonts w:ascii="Palatino Linotype" w:eastAsia="Times New Roman" w:hAnsi="Palatino Linotype"/>
          <w:b/>
          <w:sz w:val="24"/>
          <w:szCs w:val="24"/>
        </w:rPr>
        <w:t>SME</w:t>
      </w:r>
      <w:r w:rsidRPr="004D1A7F">
        <w:rPr>
          <w:rFonts w:ascii="Palatino Linotype" w:eastAsia="Times New Roman" w:hAnsi="Palatino Linotype"/>
          <w:b/>
          <w:sz w:val="24"/>
          <w:szCs w:val="24"/>
          <w:lang w:val="en-US"/>
        </w:rPr>
        <w:t>s)</w:t>
      </w:r>
      <w:r w:rsidRPr="004D1A7F">
        <w:rPr>
          <w:rFonts w:ascii="Palatino Linotype" w:eastAsia="Times New Roman" w:hAnsi="Palatino Linotype"/>
          <w:b/>
          <w:sz w:val="24"/>
          <w:szCs w:val="24"/>
        </w:rPr>
        <w:t xml:space="preserve"> </w:t>
      </w:r>
      <w:r w:rsidRPr="004D1A7F">
        <w:rPr>
          <w:rFonts w:ascii="Palatino Linotype" w:eastAsia="Times New Roman" w:hAnsi="Palatino Linotype"/>
          <w:b/>
          <w:sz w:val="24"/>
          <w:szCs w:val="24"/>
          <w:lang w:val="en-US"/>
        </w:rPr>
        <w:t>In Jambi Province</w:t>
      </w:r>
    </w:p>
    <w:p w:rsidR="00BF5D40" w:rsidRPr="004D1A7F" w:rsidRDefault="00BF5D40" w:rsidP="00BF5D40">
      <w:pPr>
        <w:autoSpaceDE w:val="0"/>
        <w:autoSpaceDN w:val="0"/>
        <w:adjustRightInd w:val="0"/>
        <w:spacing w:after="0" w:line="240" w:lineRule="auto"/>
        <w:jc w:val="center"/>
        <w:rPr>
          <w:rFonts w:ascii="Palatino Linotype" w:hAnsi="Palatino Linotype"/>
          <w:color w:val="000000" w:themeColor="text1"/>
          <w:sz w:val="20"/>
          <w:szCs w:val="20"/>
        </w:rPr>
      </w:pPr>
      <w:r>
        <w:rPr>
          <w:rFonts w:ascii="Palatino Linotype" w:hAnsi="Palatino Linotype"/>
          <w:color w:val="000000" w:themeColor="text1"/>
          <w:sz w:val="20"/>
          <w:szCs w:val="20"/>
        </w:rPr>
        <w:t>(</w:t>
      </w:r>
      <w:r w:rsidRPr="004D1A7F">
        <w:rPr>
          <w:rFonts w:ascii="Palatino Linotype" w:hAnsi="Palatino Linotype"/>
          <w:color w:val="000000" w:themeColor="text1"/>
          <w:sz w:val="20"/>
          <w:szCs w:val="20"/>
          <w:lang w:val="en-US"/>
        </w:rPr>
        <w:t>Through Superior Commodities Approach</w:t>
      </w:r>
      <w:r>
        <w:rPr>
          <w:rFonts w:ascii="Palatino Linotype" w:hAnsi="Palatino Linotype"/>
          <w:color w:val="000000" w:themeColor="text1"/>
          <w:sz w:val="20"/>
          <w:szCs w:val="20"/>
        </w:rPr>
        <w:t>)</w:t>
      </w:r>
    </w:p>
    <w:p w:rsidR="00077E67" w:rsidRPr="00A30D3F" w:rsidRDefault="00077E67">
      <w:pPr>
        <w:autoSpaceDE w:val="0"/>
        <w:autoSpaceDN w:val="0"/>
        <w:adjustRightInd w:val="0"/>
        <w:spacing w:after="0" w:line="240" w:lineRule="auto"/>
        <w:ind w:right="-46"/>
        <w:rPr>
          <w:rFonts w:ascii="Palatino Linotype" w:hAnsi="Palatino Linotype"/>
          <w:color w:val="000000" w:themeColor="text1"/>
          <w:sz w:val="20"/>
          <w:szCs w:val="20"/>
          <w:lang w:val="en-US"/>
        </w:rPr>
      </w:pPr>
    </w:p>
    <w:p w:rsidR="00077E67" w:rsidRPr="00A30D3F" w:rsidRDefault="00077E67">
      <w:pPr>
        <w:autoSpaceDE w:val="0"/>
        <w:autoSpaceDN w:val="0"/>
        <w:adjustRightInd w:val="0"/>
        <w:spacing w:after="0" w:line="240" w:lineRule="auto"/>
        <w:rPr>
          <w:rFonts w:ascii="Palatino Linotype" w:hAnsi="Palatino Linotype"/>
          <w:color w:val="000000" w:themeColor="text1"/>
          <w:sz w:val="20"/>
          <w:szCs w:val="20"/>
          <w:lang w:val="en-US"/>
        </w:rPr>
      </w:pPr>
    </w:p>
    <w:p w:rsidR="00BF5D40" w:rsidRDefault="00BF5D40" w:rsidP="00BF5D40">
      <w:pPr>
        <w:autoSpaceDE w:val="0"/>
        <w:autoSpaceDN w:val="0"/>
        <w:adjustRightInd w:val="0"/>
        <w:spacing w:after="0" w:line="240" w:lineRule="auto"/>
        <w:rPr>
          <w:rFonts w:ascii="Palatino Linotype" w:hAnsi="Palatino Linotype"/>
          <w:b/>
          <w:color w:val="000000" w:themeColor="text1"/>
          <w:sz w:val="24"/>
          <w:szCs w:val="26"/>
          <w:lang w:val="en-US"/>
        </w:rPr>
      </w:pPr>
      <w:r w:rsidRPr="008E5BF9">
        <w:rPr>
          <w:rFonts w:ascii="Palatino Linotype" w:hAnsi="Palatino Linotype"/>
          <w:b/>
          <w:color w:val="000000" w:themeColor="text1"/>
          <w:sz w:val="24"/>
          <w:szCs w:val="26"/>
          <w:lang w:val="en-US"/>
        </w:rPr>
        <w:t>Zulfanetti</w:t>
      </w:r>
      <w:r>
        <w:rPr>
          <w:rFonts w:ascii="Palatino Linotype" w:hAnsi="Palatino Linotype"/>
          <w:b/>
          <w:color w:val="000000" w:themeColor="text1"/>
          <w:sz w:val="24"/>
          <w:szCs w:val="26"/>
          <w:vertAlign w:val="superscript"/>
          <w:lang w:val="en-US"/>
        </w:rPr>
        <w:t>1</w:t>
      </w:r>
      <w:r>
        <w:rPr>
          <w:rFonts w:ascii="Palatino Linotype" w:hAnsi="Palatino Linotype"/>
          <w:b/>
          <w:color w:val="000000" w:themeColor="text1"/>
          <w:sz w:val="24"/>
          <w:szCs w:val="26"/>
          <w:lang w:val="en-US"/>
        </w:rPr>
        <w:t xml:space="preserve">, </w:t>
      </w:r>
      <w:r w:rsidRPr="008E5BF9">
        <w:rPr>
          <w:rFonts w:ascii="Palatino Linotype" w:hAnsi="Palatino Linotype"/>
          <w:b/>
          <w:color w:val="000000" w:themeColor="text1"/>
          <w:sz w:val="24"/>
          <w:szCs w:val="26"/>
          <w:lang w:val="en-US"/>
        </w:rPr>
        <w:t>Ade Octavia</w:t>
      </w:r>
      <w:r>
        <w:rPr>
          <w:rFonts w:ascii="Palatino Linotype" w:hAnsi="Palatino Linotype"/>
          <w:b/>
          <w:color w:val="000000" w:themeColor="text1"/>
          <w:sz w:val="24"/>
          <w:szCs w:val="26"/>
          <w:vertAlign w:val="superscript"/>
          <w:lang w:val="en-US"/>
        </w:rPr>
        <w:t>2</w:t>
      </w:r>
      <w:r>
        <w:rPr>
          <w:rFonts w:ascii="Palatino Linotype" w:hAnsi="Palatino Linotype"/>
          <w:b/>
          <w:color w:val="000000" w:themeColor="text1"/>
          <w:sz w:val="24"/>
          <w:szCs w:val="26"/>
          <w:lang w:val="en-US"/>
        </w:rPr>
        <w:t xml:space="preserve">, </w:t>
      </w:r>
      <w:r w:rsidRPr="008E5BF9">
        <w:rPr>
          <w:rFonts w:ascii="Palatino Linotype" w:hAnsi="Palatino Linotype"/>
          <w:b/>
          <w:color w:val="000000" w:themeColor="text1"/>
          <w:sz w:val="24"/>
          <w:szCs w:val="26"/>
          <w:lang w:val="en-US"/>
        </w:rPr>
        <w:t xml:space="preserve">Erida </w:t>
      </w:r>
      <w:r>
        <w:rPr>
          <w:rFonts w:ascii="Palatino Linotype" w:hAnsi="Palatino Linotype"/>
          <w:b/>
          <w:color w:val="000000" w:themeColor="text1"/>
          <w:sz w:val="24"/>
          <w:szCs w:val="26"/>
          <w:vertAlign w:val="superscript"/>
          <w:lang w:val="en-US"/>
        </w:rPr>
        <w:t>3</w:t>
      </w:r>
    </w:p>
    <w:p w:rsidR="00BF5D40" w:rsidRPr="00BF5D40" w:rsidRDefault="00BF5D40" w:rsidP="00BF5D40">
      <w:pPr>
        <w:autoSpaceDE w:val="0"/>
        <w:autoSpaceDN w:val="0"/>
        <w:adjustRightInd w:val="0"/>
        <w:spacing w:after="0" w:line="240" w:lineRule="auto"/>
        <w:rPr>
          <w:rFonts w:ascii="Palatino Linotype" w:hAnsi="Palatino Linotype"/>
          <w:color w:val="000000" w:themeColor="text1"/>
          <w:sz w:val="20"/>
          <w:szCs w:val="20"/>
        </w:rPr>
      </w:pPr>
      <w:r>
        <w:rPr>
          <w:rFonts w:ascii="Palatino Linotype" w:hAnsi="Palatino Linotype"/>
          <w:color w:val="000000" w:themeColor="text1"/>
          <w:sz w:val="20"/>
          <w:szCs w:val="20"/>
          <w:vertAlign w:val="superscript"/>
          <w:lang w:val="en-US"/>
        </w:rPr>
        <w:t xml:space="preserve">1 </w:t>
      </w:r>
      <w:r w:rsidRPr="008E5BF9">
        <w:rPr>
          <w:rFonts w:ascii="Palatino Linotype" w:hAnsi="Palatino Linotype"/>
          <w:color w:val="000000" w:themeColor="text1"/>
          <w:sz w:val="20"/>
          <w:szCs w:val="20"/>
          <w:lang w:val="en-US"/>
        </w:rPr>
        <w:t>Faculty of Economic and Business, University of Jambi, Jambi, Indonesia</w:t>
      </w:r>
      <w:r>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sym w:font="Wingdings" w:char="F02A"/>
      </w:r>
      <w:r>
        <w:rPr>
          <w:rFonts w:ascii="Palatino Linotype" w:hAnsi="Palatino Linotype"/>
          <w:color w:val="000000" w:themeColor="text1"/>
          <w:sz w:val="20"/>
          <w:szCs w:val="20"/>
          <w:lang w:val="en-US"/>
        </w:rPr>
        <w:t xml:space="preserve">  (e-mail) </w:t>
      </w:r>
      <w:hyperlink r:id="rId9" w:history="1">
        <w:r w:rsidRPr="00AC1537">
          <w:rPr>
            <w:rStyle w:val="Hyperlink"/>
            <w:rFonts w:ascii="Palatino Linotype" w:hAnsi="Palatino Linotype"/>
            <w:sz w:val="20"/>
            <w:szCs w:val="20"/>
            <w:lang w:val="en-US"/>
          </w:rPr>
          <w:t>zulfa_netti@unja.ac.id</w:t>
        </w:r>
      </w:hyperlink>
    </w:p>
    <w:p w:rsidR="00BF5D40" w:rsidRPr="002F7D38" w:rsidRDefault="00BF5D40" w:rsidP="00BF5D40">
      <w:pPr>
        <w:autoSpaceDE w:val="0"/>
        <w:autoSpaceDN w:val="0"/>
        <w:adjustRightInd w:val="0"/>
        <w:spacing w:after="0" w:line="240" w:lineRule="auto"/>
        <w:rPr>
          <w:rFonts w:ascii="Palatino Linotype" w:hAnsi="Palatino Linotype"/>
          <w:color w:val="000000" w:themeColor="text1"/>
          <w:sz w:val="20"/>
          <w:szCs w:val="20"/>
        </w:rPr>
      </w:pPr>
      <w:r>
        <w:rPr>
          <w:rFonts w:ascii="Palatino Linotype" w:hAnsi="Palatino Linotype"/>
          <w:color w:val="000000" w:themeColor="text1"/>
          <w:sz w:val="20"/>
          <w:szCs w:val="20"/>
          <w:vertAlign w:val="superscript"/>
          <w:lang w:val="en-US"/>
        </w:rPr>
        <w:t xml:space="preserve">2 </w:t>
      </w:r>
      <w:r w:rsidRPr="008E5BF9">
        <w:rPr>
          <w:rFonts w:ascii="Palatino Linotype" w:hAnsi="Palatino Linotype"/>
          <w:color w:val="000000" w:themeColor="text1"/>
          <w:sz w:val="20"/>
          <w:szCs w:val="20"/>
          <w:lang w:val="en-US"/>
        </w:rPr>
        <w:t>Faculty of Economic and Business, University of Jambi, Jambi, Indonesia</w:t>
      </w:r>
      <w:r>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sym w:font="Wingdings" w:char="F02A"/>
      </w:r>
      <w:r>
        <w:rPr>
          <w:rFonts w:ascii="Palatino Linotype" w:hAnsi="Palatino Linotype"/>
          <w:color w:val="000000" w:themeColor="text1"/>
          <w:sz w:val="20"/>
          <w:szCs w:val="20"/>
          <w:lang w:val="en-US"/>
        </w:rPr>
        <w:t xml:space="preserve">  (e-mail) </w:t>
      </w:r>
      <w:hyperlink r:id="rId10" w:history="1">
        <w:r w:rsidRPr="00AC1537">
          <w:rPr>
            <w:rStyle w:val="Hyperlink"/>
            <w:rFonts w:ascii="Palatino Linotype" w:hAnsi="Palatino Linotype"/>
            <w:sz w:val="20"/>
            <w:szCs w:val="20"/>
          </w:rPr>
          <w:t>octavia@unja.ac.id</w:t>
        </w:r>
      </w:hyperlink>
    </w:p>
    <w:p w:rsidR="00BF5D40" w:rsidRPr="00AB4914" w:rsidRDefault="00BF5D40" w:rsidP="00BF5D40">
      <w:pPr>
        <w:autoSpaceDE w:val="0"/>
        <w:autoSpaceDN w:val="0"/>
        <w:adjustRightInd w:val="0"/>
        <w:spacing w:after="0" w:line="240" w:lineRule="auto"/>
        <w:rPr>
          <w:rFonts w:ascii="Palatino Linotype" w:hAnsi="Palatino Linotype"/>
          <w:color w:val="000000" w:themeColor="text1"/>
          <w:sz w:val="20"/>
          <w:szCs w:val="20"/>
        </w:rPr>
      </w:pPr>
      <w:r>
        <w:rPr>
          <w:rFonts w:ascii="Palatino Linotype" w:hAnsi="Palatino Linotype"/>
          <w:color w:val="000000" w:themeColor="text1"/>
          <w:sz w:val="20"/>
          <w:szCs w:val="20"/>
          <w:vertAlign w:val="superscript"/>
          <w:lang w:val="en-US"/>
        </w:rPr>
        <w:t>3</w:t>
      </w:r>
      <w:r>
        <w:rPr>
          <w:rFonts w:ascii="Palatino Linotype" w:hAnsi="Palatino Linotype"/>
          <w:color w:val="000000" w:themeColor="text1"/>
          <w:sz w:val="20"/>
          <w:szCs w:val="20"/>
          <w:lang w:val="en-US"/>
        </w:rPr>
        <w:t xml:space="preserve"> </w:t>
      </w:r>
      <w:r w:rsidRPr="008E5BF9">
        <w:rPr>
          <w:rFonts w:ascii="Palatino Linotype" w:hAnsi="Palatino Linotype"/>
          <w:color w:val="000000" w:themeColor="text1"/>
          <w:sz w:val="20"/>
          <w:szCs w:val="20"/>
          <w:lang w:val="en-US"/>
        </w:rPr>
        <w:t>Faculty of Economic and Business, University of Jambi, Jambi, Indonesia</w:t>
      </w:r>
      <w:r>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sym w:font="Wingdings" w:char="F02A"/>
      </w:r>
      <w:r>
        <w:rPr>
          <w:rFonts w:ascii="Palatino Linotype" w:hAnsi="Palatino Linotype"/>
          <w:color w:val="000000" w:themeColor="text1"/>
          <w:sz w:val="20"/>
          <w:szCs w:val="20"/>
          <w:lang w:val="en-US"/>
        </w:rPr>
        <w:t xml:space="preserve">  (e-mail) </w:t>
      </w:r>
      <w:hyperlink r:id="rId11" w:history="1">
        <w:r w:rsidRPr="00AC1537">
          <w:rPr>
            <w:rStyle w:val="Hyperlink"/>
            <w:rFonts w:ascii="Palatino Linotype" w:hAnsi="Palatino Linotype"/>
            <w:sz w:val="20"/>
            <w:szCs w:val="20"/>
          </w:rPr>
          <w:t>erida.ida@unja.ac.id</w:t>
        </w:r>
      </w:hyperlink>
    </w:p>
    <w:p w:rsidR="00BF5D40" w:rsidRDefault="00BF5D40" w:rsidP="00BF5D40">
      <w:pPr>
        <w:autoSpaceDE w:val="0"/>
        <w:autoSpaceDN w:val="0"/>
        <w:adjustRightInd w:val="0"/>
        <w:spacing w:after="0" w:line="360" w:lineRule="auto"/>
        <w:rPr>
          <w:rFonts w:ascii="Humanst521 BT" w:hAnsi="Humanst521 BT"/>
          <w:color w:val="000000" w:themeColor="text1"/>
          <w:sz w:val="20"/>
          <w:szCs w:val="24"/>
          <w:lang w:val="en-US"/>
        </w:rPr>
      </w:pPr>
    </w:p>
    <w:p w:rsidR="00BF5D40" w:rsidRPr="000931D7" w:rsidRDefault="00BF5D40" w:rsidP="00BF5D40">
      <w:pPr>
        <w:pStyle w:val="ListParagraph1"/>
        <w:spacing w:after="0" w:line="240" w:lineRule="auto"/>
        <w:ind w:left="1134" w:right="805"/>
        <w:jc w:val="both"/>
        <w:rPr>
          <w:rFonts w:ascii="Palatino Linotype" w:hAnsi="Palatino Linotype"/>
          <w:sz w:val="24"/>
          <w:szCs w:val="24"/>
        </w:rPr>
      </w:pPr>
      <w:r w:rsidRPr="000931D7">
        <w:rPr>
          <w:rFonts w:ascii="Palatino Linotype" w:hAnsi="Palatino Linotype"/>
          <w:b/>
          <w:sz w:val="24"/>
          <w:szCs w:val="24"/>
        </w:rPr>
        <w:t>Abstr</w:t>
      </w:r>
      <w:r w:rsidRPr="000931D7">
        <w:rPr>
          <w:rFonts w:ascii="Palatino Linotype" w:hAnsi="Palatino Linotype"/>
          <w:b/>
          <w:sz w:val="24"/>
          <w:szCs w:val="24"/>
          <w:lang w:val="en-US"/>
        </w:rPr>
        <w:t>act</w:t>
      </w:r>
    </w:p>
    <w:p w:rsidR="00BF5D40" w:rsidRPr="00EE2712" w:rsidRDefault="00BF5D40" w:rsidP="00BF5D40">
      <w:pPr>
        <w:pStyle w:val="ListParagraph1"/>
        <w:spacing w:after="0" w:line="240" w:lineRule="auto"/>
        <w:ind w:left="1134" w:right="-46"/>
        <w:jc w:val="both"/>
        <w:rPr>
          <w:rFonts w:ascii="Palatino Linotype" w:hAnsi="Palatino Linotype"/>
          <w:color w:val="000000" w:themeColor="text1"/>
          <w:sz w:val="20"/>
          <w:szCs w:val="20"/>
          <w:lang w:val="en-US"/>
        </w:rPr>
      </w:pPr>
      <w:r w:rsidRPr="00EE2712">
        <w:rPr>
          <w:rFonts w:ascii="Palatino Linotype" w:hAnsi="Palatino Linotype"/>
          <w:color w:val="000000" w:themeColor="text1"/>
          <w:sz w:val="20"/>
          <w:szCs w:val="20"/>
          <w:lang w:val="en-US"/>
        </w:rPr>
        <w:t>This study aims to analyze (1).  the development of Value of Production, Credit, Number of Business, Labor and Asset of MSMEs; (2).  the factors that influence the value of production of MSMEs; (3).  the superior sectors of MSMEs; (4).  superior commodity of MSMEs spread in Regency / City of Jambi Province.</w:t>
      </w:r>
      <w:r w:rsidRPr="00EE2712">
        <w:rPr>
          <w:rFonts w:ascii="Palatino Linotype" w:hAnsi="Palatino Linotype"/>
          <w:color w:val="000000" w:themeColor="text1"/>
          <w:sz w:val="20"/>
          <w:szCs w:val="20"/>
        </w:rPr>
        <w:t xml:space="preserve"> </w:t>
      </w:r>
      <w:r w:rsidRPr="00EE2712">
        <w:rPr>
          <w:rFonts w:ascii="Palatino Linotype" w:hAnsi="Palatino Linotype"/>
          <w:color w:val="000000" w:themeColor="text1"/>
          <w:sz w:val="20"/>
          <w:szCs w:val="20"/>
          <w:lang w:val="en-US"/>
        </w:rPr>
        <w:t>The study design was cross sectional. The study was conducted in Jambi Province. Overall research time of 2 years. For the first year, an analysis of the growth and growth of MSMEs in Jambi Province, an analysis of the factors that influence the value of MSMEs production, the analysis of the superior sectors and commodities. While the second year is done an analysis of MSMEs profile, identification of strength, weakness, opportunity, and threat (SWOT) from MSMEs.  Data analysis using multiple linear regression with panel data. The results showed that the development of SMEs in the period 2010-2015 seen from the value of production, credit, business, absorption of labor and assets experienced an increasing trend. Factors that significantly affect the value of MSMEs production are credits and assets. The result of LQ analysis shows that the sector which is the base sector (LQ&gt; 1) based on the use of labor varies among the regencies / cities in Jambi Province.</w:t>
      </w:r>
      <w:r w:rsidRPr="00EE2712">
        <w:rPr>
          <w:rFonts w:ascii="Palatino Linotype" w:hAnsi="Palatino Linotype"/>
          <w:color w:val="000000" w:themeColor="text1"/>
          <w:sz w:val="20"/>
          <w:szCs w:val="20"/>
        </w:rPr>
        <w:t xml:space="preserve"> </w:t>
      </w:r>
      <w:r w:rsidRPr="00EE2712">
        <w:rPr>
          <w:rFonts w:ascii="Palatino Linotype" w:hAnsi="Palatino Linotype"/>
          <w:color w:val="000000" w:themeColor="text1"/>
          <w:sz w:val="20"/>
          <w:szCs w:val="20"/>
          <w:lang w:val="en-US"/>
        </w:rPr>
        <w:t xml:space="preserve">Analysis of the superior commodities shows that there are 28 superior commodities in agriculture sector from food crops, horticulture, plantation, animal husbandry, marine and fishery. Furthermore, for the second year, the formulation of sustainable MSMEs development model will be developed.  </w:t>
      </w:r>
    </w:p>
    <w:p w:rsidR="00BF5D40" w:rsidRPr="00EE2712" w:rsidRDefault="00BF5D40" w:rsidP="00BF5D40">
      <w:pPr>
        <w:spacing w:after="0" w:line="240" w:lineRule="auto"/>
        <w:ind w:right="522"/>
        <w:jc w:val="both"/>
        <w:rPr>
          <w:rFonts w:ascii="Palatino Linotype" w:hAnsi="Palatino Linotype"/>
          <w:color w:val="000000" w:themeColor="text1"/>
          <w:sz w:val="20"/>
          <w:szCs w:val="20"/>
        </w:rPr>
      </w:pPr>
    </w:p>
    <w:p w:rsidR="00BF5D40" w:rsidRPr="000931D7" w:rsidRDefault="00BF5D40" w:rsidP="00BF5D40">
      <w:pPr>
        <w:pStyle w:val="ListParagraph1"/>
        <w:spacing w:after="0" w:line="240" w:lineRule="auto"/>
        <w:ind w:left="1134" w:right="-46"/>
        <w:jc w:val="both"/>
        <w:rPr>
          <w:rFonts w:ascii="Palatino Linotype" w:hAnsi="Palatino Linotype"/>
          <w:color w:val="000000" w:themeColor="text1"/>
          <w:sz w:val="24"/>
          <w:szCs w:val="24"/>
        </w:rPr>
      </w:pPr>
      <w:r w:rsidRPr="000931D7">
        <w:rPr>
          <w:rFonts w:ascii="Palatino Linotype" w:hAnsi="Palatino Linotype"/>
          <w:b/>
          <w:sz w:val="24"/>
          <w:szCs w:val="24"/>
        </w:rPr>
        <w:t>Keyword</w:t>
      </w:r>
      <w:r w:rsidRPr="000931D7">
        <w:rPr>
          <w:rFonts w:ascii="Palatino Linotype" w:hAnsi="Palatino Linotype"/>
          <w:b/>
          <w:sz w:val="24"/>
          <w:szCs w:val="24"/>
          <w:lang w:val="en-US"/>
        </w:rPr>
        <w:t>s</w:t>
      </w:r>
      <w:r w:rsidRPr="000931D7">
        <w:rPr>
          <w:rFonts w:ascii="Palatino Linotype" w:hAnsi="Palatino Linotype"/>
          <w:sz w:val="24"/>
          <w:szCs w:val="24"/>
        </w:rPr>
        <w:t>:</w:t>
      </w:r>
      <w:r w:rsidRPr="000931D7">
        <w:rPr>
          <w:sz w:val="24"/>
          <w:szCs w:val="24"/>
        </w:rPr>
        <w:t xml:space="preserve"> </w:t>
      </w:r>
      <w:r w:rsidRPr="00EE2712">
        <w:rPr>
          <w:rFonts w:ascii="Palatino Linotype" w:hAnsi="Palatino Linotype"/>
          <w:color w:val="000000" w:themeColor="text1"/>
          <w:sz w:val="20"/>
          <w:szCs w:val="20"/>
          <w:lang w:val="en-US"/>
        </w:rPr>
        <w:t>MSMEs, superior sector, superior commodity</w:t>
      </w:r>
    </w:p>
    <w:p w:rsidR="00BF5D40" w:rsidRPr="000931D7" w:rsidRDefault="00BF5D40" w:rsidP="00BF5D40">
      <w:pPr>
        <w:pStyle w:val="ListParagraph1"/>
        <w:spacing w:after="0" w:line="240" w:lineRule="auto"/>
        <w:ind w:left="1134" w:right="-46"/>
        <w:jc w:val="both"/>
        <w:rPr>
          <w:rFonts w:ascii="Palatino Linotype" w:hAnsi="Palatino Linotype"/>
          <w:b/>
          <w:sz w:val="24"/>
          <w:szCs w:val="24"/>
        </w:rPr>
      </w:pPr>
    </w:p>
    <w:p w:rsidR="00077E67" w:rsidRDefault="00BF5D40" w:rsidP="00BF5D40">
      <w:pPr>
        <w:pStyle w:val="ListParagraph1"/>
        <w:spacing w:after="0" w:line="240" w:lineRule="auto"/>
        <w:ind w:left="1134" w:right="-46"/>
        <w:jc w:val="both"/>
        <w:rPr>
          <w:rFonts w:ascii="Palatino Linotype" w:hAnsi="Palatino Linotype"/>
          <w:sz w:val="20"/>
          <w:szCs w:val="20"/>
        </w:rPr>
      </w:pPr>
      <w:r w:rsidRPr="00EE2712">
        <w:rPr>
          <w:rFonts w:ascii="Palatino Linotype" w:hAnsi="Palatino Linotype"/>
          <w:b/>
          <w:sz w:val="20"/>
          <w:szCs w:val="20"/>
          <w:lang w:val="en-US"/>
        </w:rPr>
        <w:t>How to Cite</w:t>
      </w:r>
      <w:r w:rsidRPr="00EE2712">
        <w:rPr>
          <w:rFonts w:ascii="Palatino Linotype" w:hAnsi="Palatino Linotype"/>
          <w:b/>
          <w:sz w:val="20"/>
          <w:szCs w:val="20"/>
        </w:rPr>
        <w:t xml:space="preserve">: </w:t>
      </w:r>
      <w:r w:rsidRPr="00EE2712">
        <w:rPr>
          <w:rFonts w:ascii="Palatino Linotype" w:hAnsi="Palatino Linotype"/>
          <w:sz w:val="20"/>
          <w:szCs w:val="20"/>
        </w:rPr>
        <w:t xml:space="preserve">Zulfanetti, Ade Octavia, &amp; Erida. (2018). Profile And Development Model Of Micro, Small And Medium Enterprises (MSMEs) In Jambi Province. In </w:t>
      </w:r>
      <w:r w:rsidRPr="00EE2712">
        <w:rPr>
          <w:rFonts w:ascii="Palatino Linotype" w:hAnsi="Palatino Linotype"/>
          <w:sz w:val="20"/>
          <w:szCs w:val="20"/>
          <w:lang w:val="en-US"/>
        </w:rPr>
        <w:t>Luna(</w:t>
      </w:r>
      <w:r w:rsidRPr="00EE2712">
        <w:rPr>
          <w:rFonts w:ascii="Palatino Linotype" w:hAnsi="Palatino Linotype"/>
          <w:bCs/>
          <w:color w:val="000000" w:themeColor="text1"/>
          <w:sz w:val="20"/>
          <w:szCs w:val="20"/>
          <w:lang w:val="en-US"/>
        </w:rPr>
        <w:t>Eds</w:t>
      </w:r>
      <w:r w:rsidRPr="00EE2712">
        <w:rPr>
          <w:rFonts w:ascii="Palatino Linotype" w:hAnsi="Palatino Linotype"/>
          <w:sz w:val="20"/>
          <w:szCs w:val="20"/>
        </w:rPr>
        <w:t xml:space="preserve">.), </w:t>
      </w:r>
      <w:r w:rsidRPr="00EE2712">
        <w:rPr>
          <w:rFonts w:ascii="Calisto MT" w:hAnsi="Calisto MT"/>
          <w:sz w:val="18"/>
          <w:szCs w:val="18"/>
          <w:lang w:val="en-US"/>
        </w:rPr>
        <w:t>The 1</w:t>
      </w:r>
      <w:r w:rsidRPr="00EE2712">
        <w:rPr>
          <w:rFonts w:ascii="Calisto MT" w:hAnsi="Calisto MT"/>
          <w:sz w:val="18"/>
          <w:szCs w:val="18"/>
          <w:vertAlign w:val="superscript"/>
          <w:lang w:val="en-US"/>
        </w:rPr>
        <w:t>st</w:t>
      </w:r>
      <w:r w:rsidRPr="00EE2712">
        <w:rPr>
          <w:rFonts w:ascii="Calisto MT" w:hAnsi="Calisto MT"/>
          <w:sz w:val="18"/>
          <w:szCs w:val="18"/>
          <w:lang w:val="en-US"/>
        </w:rPr>
        <w:t xml:space="preserve"> Padang International Conferences on Education, Economics, Business, and Accounting</w:t>
      </w:r>
      <w:r w:rsidRPr="00EE2712">
        <w:rPr>
          <w:rFonts w:ascii="Palatino Linotype" w:hAnsi="Palatino Linotype"/>
          <w:sz w:val="20"/>
          <w:szCs w:val="20"/>
        </w:rPr>
        <w:t>(pp. XX–XX).</w:t>
      </w:r>
      <w:r w:rsidRPr="00EE2712">
        <w:rPr>
          <w:rFonts w:ascii="Palatino Linotype" w:hAnsi="Palatino Linotype"/>
          <w:sz w:val="20"/>
          <w:szCs w:val="20"/>
          <w:lang w:val="en-US"/>
        </w:rPr>
        <w:t>Padang</w:t>
      </w:r>
      <w:r w:rsidRPr="00EE2712">
        <w:rPr>
          <w:rFonts w:ascii="Palatino Linotype" w:hAnsi="Palatino Linotype"/>
          <w:sz w:val="20"/>
          <w:szCs w:val="20"/>
        </w:rPr>
        <w:t>:</w:t>
      </w:r>
      <w:r w:rsidRPr="00EE2712">
        <w:rPr>
          <w:rFonts w:ascii="Palatino Linotype" w:hAnsi="Palatino Linotype"/>
          <w:sz w:val="20"/>
          <w:szCs w:val="20"/>
          <w:lang w:val="en-US"/>
        </w:rPr>
        <w:t xml:space="preserve"> Economics Faculty, Universitas</w:t>
      </w:r>
      <w:r>
        <w:rPr>
          <w:rFonts w:ascii="Palatino Linotype" w:hAnsi="Palatino Linotype"/>
          <w:sz w:val="20"/>
          <w:szCs w:val="20"/>
        </w:rPr>
        <w:t xml:space="preserve"> </w:t>
      </w:r>
      <w:r w:rsidRPr="00EE2712">
        <w:rPr>
          <w:rFonts w:ascii="Palatino Linotype" w:hAnsi="Palatino Linotype"/>
          <w:sz w:val="20"/>
          <w:szCs w:val="20"/>
          <w:lang w:val="en-US"/>
        </w:rPr>
        <w:t>Negeri Padang</w:t>
      </w:r>
      <w:r w:rsidRPr="00EE2712">
        <w:rPr>
          <w:rFonts w:ascii="Palatino Linotype" w:hAnsi="Palatino Linotype"/>
          <w:sz w:val="20"/>
          <w:szCs w:val="20"/>
        </w:rPr>
        <w:t xml:space="preserve"> Publishing. </w:t>
      </w:r>
      <w:r w:rsidRPr="00EE2712">
        <w:rPr>
          <w:rFonts w:ascii="Calisto MT" w:hAnsi="Calisto MT"/>
          <w:sz w:val="20"/>
          <w:szCs w:val="20"/>
          <w:lang w:val="en-US"/>
        </w:rPr>
        <w:t xml:space="preserve">DOI: </w:t>
      </w:r>
      <w:hyperlink r:id="rId12" w:history="1">
        <w:r w:rsidRPr="00AC1537">
          <w:rPr>
            <w:rStyle w:val="Hyperlink"/>
            <w:rFonts w:ascii="Calisto MT" w:hAnsi="Calisto MT"/>
            <w:sz w:val="20"/>
            <w:szCs w:val="20"/>
            <w:lang w:val="en-US"/>
          </w:rPr>
          <w:t>https://doi.org/XX.XXXXX/XXX</w:t>
        </w:r>
      </w:hyperlink>
    </w:p>
    <w:p w:rsidR="00077E67" w:rsidRDefault="00077E67">
      <w:pPr>
        <w:spacing w:after="0" w:line="240" w:lineRule="auto"/>
        <w:ind w:right="522"/>
        <w:jc w:val="both"/>
        <w:rPr>
          <w:rFonts w:ascii="Calisto MT" w:hAnsi="Calisto MT"/>
          <w:sz w:val="20"/>
          <w:szCs w:val="20"/>
        </w:rPr>
      </w:pPr>
    </w:p>
    <w:p w:rsidR="00077E67" w:rsidRDefault="00077E67">
      <w:pPr>
        <w:spacing w:after="0" w:line="240" w:lineRule="auto"/>
        <w:jc w:val="both"/>
        <w:rPr>
          <w:rFonts w:ascii="Palatino Linotype" w:hAnsi="Palatino Linotype" w:cstheme="minorHAnsi"/>
          <w:b/>
          <w:sz w:val="28"/>
          <w:szCs w:val="24"/>
          <w:lang w:val="en-US"/>
        </w:rPr>
        <w:sectPr w:rsidR="00077E67">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568" w:footer="567" w:gutter="0"/>
          <w:cols w:space="708"/>
          <w:titlePg/>
          <w:docGrid w:linePitch="360"/>
        </w:sectPr>
      </w:pPr>
    </w:p>
    <w:p w:rsidR="00BF5D40" w:rsidRPr="000931D7" w:rsidRDefault="00BF5D40" w:rsidP="00BF5D40">
      <w:pPr>
        <w:spacing w:after="120" w:line="240" w:lineRule="auto"/>
        <w:jc w:val="both"/>
        <w:rPr>
          <w:rFonts w:ascii="Palatino Linotype" w:hAnsi="Palatino Linotype" w:cstheme="minorHAnsi"/>
          <w:b/>
          <w:sz w:val="24"/>
          <w:szCs w:val="24"/>
        </w:rPr>
      </w:pPr>
      <w:r w:rsidRPr="000931D7">
        <w:rPr>
          <w:rFonts w:ascii="Palatino Linotype" w:hAnsi="Palatino Linotype" w:cstheme="minorHAnsi"/>
          <w:b/>
          <w:sz w:val="24"/>
          <w:szCs w:val="24"/>
          <w:lang w:val="en-US"/>
        </w:rPr>
        <w:lastRenderedPageBreak/>
        <w:t>Introduction</w:t>
      </w:r>
    </w:p>
    <w:p w:rsidR="00BF5D40" w:rsidRPr="00EE2712" w:rsidRDefault="00BF5D40" w:rsidP="00BF5D40">
      <w:pPr>
        <w:spacing w:after="120" w:line="240" w:lineRule="auto"/>
        <w:ind w:firstLine="284"/>
        <w:jc w:val="both"/>
        <w:rPr>
          <w:rFonts w:ascii="Palatino Linotype" w:hAnsi="Palatino Linotype" w:cstheme="minorHAnsi"/>
          <w:sz w:val="20"/>
          <w:szCs w:val="20"/>
        </w:rPr>
      </w:pPr>
      <w:r w:rsidRPr="00EE2712">
        <w:rPr>
          <w:rFonts w:ascii="Palatino Linotype" w:hAnsi="Palatino Linotype" w:cstheme="minorHAnsi"/>
          <w:sz w:val="20"/>
          <w:szCs w:val="20"/>
        </w:rPr>
        <w:t>The important role of Micro, Small and Medium Enterprises (MSMEs) in Indonesia is increasingly felt in the process of national economic development. Initially, the existence of MSMEs was considered an important source of job creation and the main driving force of local economic development in rural areas. However, in the current and future era of globalization, the role of MSMEs existence is increasingly important as one source of foreign exchange of non-oil and gas exports of Indonesia, (Tambunan, 2012).</w:t>
      </w:r>
    </w:p>
    <w:p w:rsidR="00BF5D40" w:rsidRPr="00EE2712" w:rsidRDefault="00BF5D40" w:rsidP="00BF5D40">
      <w:pPr>
        <w:spacing w:after="120" w:line="240" w:lineRule="auto"/>
        <w:ind w:firstLine="284"/>
        <w:jc w:val="both"/>
        <w:rPr>
          <w:rFonts w:ascii="Palatino Linotype" w:hAnsi="Palatino Linotype" w:cstheme="minorHAnsi"/>
          <w:sz w:val="20"/>
          <w:szCs w:val="20"/>
        </w:rPr>
      </w:pPr>
      <w:r w:rsidRPr="00EE2712">
        <w:rPr>
          <w:rFonts w:ascii="Palatino Linotype" w:hAnsi="Palatino Linotype" w:cstheme="minorHAnsi"/>
          <w:sz w:val="20"/>
          <w:szCs w:val="20"/>
        </w:rPr>
        <w:t>MSME's role has also been actualized in times of crisis to date. During the economic crisis until now, the existence of MSMEs is able to be the main driving factor of Indonesian economy. Especially when the crisis of investment activity and government spending is very limited, then at that time the role of MSMEs as a form of people's economy is very large. Furthermore, in terms of contribution to GRDP is only 56.7% and non-oil exports only 15%. However, MSMEs still contribute 99% in the number of business actors in Indonesia, and has a share of 99.6% in employment (BPS, 2013).</w:t>
      </w:r>
    </w:p>
    <w:p w:rsidR="00BF5D40" w:rsidRPr="00EE2712" w:rsidRDefault="00BF5D40" w:rsidP="00BF5D40">
      <w:pPr>
        <w:spacing w:after="120" w:line="240" w:lineRule="auto"/>
        <w:ind w:firstLine="284"/>
        <w:jc w:val="both"/>
        <w:rPr>
          <w:rFonts w:ascii="Palatino Linotype" w:hAnsi="Palatino Linotype" w:cstheme="minorHAnsi"/>
          <w:sz w:val="20"/>
          <w:szCs w:val="20"/>
        </w:rPr>
      </w:pPr>
      <w:r w:rsidRPr="00EE2712">
        <w:rPr>
          <w:rFonts w:ascii="Palatino Linotype" w:hAnsi="Palatino Linotype" w:cstheme="minorHAnsi"/>
          <w:sz w:val="20"/>
          <w:szCs w:val="20"/>
        </w:rPr>
        <w:t>MSMEs are business activities that are able to expand employment and play a role in the process of increasing public income, even during the crisis of MSMEs known to encourage economic growth. The government encourages micro, small and medium enterprises (MSMEs) to continue to grow so that it can absorb more labor. MSMEs are expected to play a role in reducing unemployment. Minister of Cooperatives and SMEs Syarif Hasan (Depkop, 2012) revealed, the growth of MSMEs in Indonesia increased rapidly last two years. If two years ago the number of MSMEs ranged from 52.8 million business units, in 2011 has increased to 55.2 million units. The increasing number of MSMEs is expected to be proportional to the absorption of manpower. Nationally the average MSMES can absorb 3-5 workers. With the addition of about 3 million units of MSMES, in the last two years, the amount of worker absorbed increased by 15 million people. Seeing the role of MSMEs that are so strategic, MSMEs can realize one of the Millennium Development Goals of poverty alleviation and hunger.</w:t>
      </w:r>
    </w:p>
    <w:p w:rsidR="00BF5D40" w:rsidRPr="00EE2712" w:rsidRDefault="00BF5D40" w:rsidP="00BF5D40">
      <w:pPr>
        <w:spacing w:after="120" w:line="240" w:lineRule="auto"/>
        <w:ind w:firstLine="284"/>
        <w:jc w:val="both"/>
        <w:rPr>
          <w:rFonts w:ascii="Palatino Linotype" w:hAnsi="Palatino Linotype" w:cstheme="minorHAnsi"/>
          <w:sz w:val="20"/>
          <w:szCs w:val="20"/>
        </w:rPr>
      </w:pPr>
      <w:r w:rsidRPr="00EE2712">
        <w:rPr>
          <w:rFonts w:ascii="Palatino Linotype" w:hAnsi="Palatino Linotype" w:cstheme="minorHAnsi"/>
          <w:sz w:val="20"/>
          <w:szCs w:val="20"/>
        </w:rPr>
        <w:t>According to information and data from the Office of Cooperatives and SMEs Jambi Province (2015) known that in 2014 MSMES amounted to 81,959 units, absorbing labor as much as 154,529 people. Total assets reach Rp. 176,695,369,438.73 and turnover amounted to Rp. 598.415.171.235,63. When compared with the year 2010, the average growth during the five years of 6.047% of the number of MSMEs in Jambi Province. The growth of total employment, assets and turnover in the same period are 10.862%, 8.199% and 9.006% respectively. The growth of MSMEs shows that MSMEs play a significant role in increasing the growth rate of real sector in Jambi Province. Muaro Jambi Regency has the highest number of MSMEs, followed by Jambi city, Sungai Penuh city, Tanjung Jabung Barat regency and Tanjung Timur regency.</w:t>
      </w:r>
    </w:p>
    <w:p w:rsidR="00BF5D40" w:rsidRPr="00EE2712" w:rsidRDefault="00BF5D40" w:rsidP="00BF5D40">
      <w:pPr>
        <w:spacing w:after="120" w:line="240" w:lineRule="auto"/>
        <w:ind w:firstLine="284"/>
        <w:jc w:val="both"/>
        <w:rPr>
          <w:rFonts w:ascii="Palatino Linotype" w:hAnsi="Palatino Linotype" w:cstheme="minorHAnsi"/>
          <w:sz w:val="20"/>
          <w:szCs w:val="20"/>
        </w:rPr>
      </w:pPr>
      <w:r w:rsidRPr="00EE2712">
        <w:rPr>
          <w:rFonts w:ascii="Palatino Linotype" w:hAnsi="Palatino Linotype" w:cstheme="minorHAnsi"/>
          <w:sz w:val="20"/>
          <w:szCs w:val="20"/>
        </w:rPr>
        <w:t>Given the strategic role of MSMEs it is necessary to empower MSMEs in order to grow and develop into a tough and independent business. In Law No.20 / 2008 on MSMEs, it is defined that empowerment is an effort by the Government, Regional Government, Business, and Society synergistically towards MSMEs. Empowerment can be done if potential, problems, opportunities and challenges faced by MSMES as a whole is known.</w:t>
      </w:r>
    </w:p>
    <w:p w:rsidR="00BF5D40" w:rsidRPr="00EE2712" w:rsidRDefault="00BF5D40" w:rsidP="00BF5D40">
      <w:pPr>
        <w:spacing w:after="120" w:line="240" w:lineRule="auto"/>
        <w:jc w:val="both"/>
        <w:rPr>
          <w:rFonts w:ascii="Palatino Linotype" w:hAnsi="Palatino Linotype" w:cstheme="minorHAnsi"/>
          <w:sz w:val="20"/>
          <w:szCs w:val="20"/>
        </w:rPr>
      </w:pPr>
      <w:r w:rsidRPr="00EE2712">
        <w:rPr>
          <w:rFonts w:ascii="Palatino Linotype" w:hAnsi="Palatino Linotype" w:cstheme="minorHAnsi"/>
          <w:sz w:val="20"/>
          <w:szCs w:val="20"/>
        </w:rPr>
        <w:t>Research Purposes</w:t>
      </w:r>
    </w:p>
    <w:p w:rsidR="00BF5D40" w:rsidRPr="00EE2712" w:rsidRDefault="00BF5D40" w:rsidP="00BF5D40">
      <w:pPr>
        <w:pStyle w:val="ListParagraph"/>
        <w:numPr>
          <w:ilvl w:val="0"/>
          <w:numId w:val="7"/>
        </w:numPr>
        <w:spacing w:after="120" w:line="240" w:lineRule="auto"/>
        <w:jc w:val="both"/>
        <w:rPr>
          <w:rFonts w:ascii="Palatino Linotype" w:hAnsi="Palatino Linotype" w:cstheme="minorHAnsi"/>
          <w:sz w:val="20"/>
          <w:szCs w:val="20"/>
        </w:rPr>
      </w:pPr>
      <w:r w:rsidRPr="00EE2712">
        <w:rPr>
          <w:rFonts w:ascii="Palatino Linotype" w:hAnsi="Palatino Linotype" w:cstheme="minorHAnsi"/>
          <w:sz w:val="20"/>
          <w:szCs w:val="20"/>
        </w:rPr>
        <w:t>Analyzing the development of Production Value, Credit, Number of Business, Labor and Asset of   MSMEs in Regency / City in Jambi Province.</w:t>
      </w:r>
    </w:p>
    <w:p w:rsidR="00BF5D40" w:rsidRPr="00EE2712" w:rsidRDefault="00BF5D40" w:rsidP="00BF5D40">
      <w:pPr>
        <w:pStyle w:val="ListParagraph"/>
        <w:numPr>
          <w:ilvl w:val="0"/>
          <w:numId w:val="7"/>
        </w:numPr>
        <w:spacing w:after="120" w:line="240" w:lineRule="auto"/>
        <w:jc w:val="both"/>
        <w:rPr>
          <w:rFonts w:ascii="Palatino Linotype" w:hAnsi="Palatino Linotype" w:cstheme="minorHAnsi"/>
          <w:sz w:val="20"/>
          <w:szCs w:val="20"/>
        </w:rPr>
      </w:pPr>
      <w:r w:rsidRPr="00EE2712">
        <w:rPr>
          <w:rFonts w:ascii="Palatino Linotype" w:hAnsi="Palatino Linotype" w:cstheme="minorHAnsi"/>
          <w:sz w:val="20"/>
          <w:szCs w:val="20"/>
        </w:rPr>
        <w:lastRenderedPageBreak/>
        <w:t>Analyzing the factors that affect the value of production of MSMEs in the Regency / City of Jambi Province.</w:t>
      </w:r>
    </w:p>
    <w:p w:rsidR="00BF5D40" w:rsidRPr="00EE2712" w:rsidRDefault="00BF5D40" w:rsidP="00BF5D40">
      <w:pPr>
        <w:pStyle w:val="ListParagraph"/>
        <w:numPr>
          <w:ilvl w:val="0"/>
          <w:numId w:val="7"/>
        </w:numPr>
        <w:spacing w:after="120" w:line="240" w:lineRule="auto"/>
        <w:jc w:val="both"/>
        <w:rPr>
          <w:rFonts w:ascii="Palatino Linotype" w:hAnsi="Palatino Linotype" w:cstheme="minorHAnsi"/>
          <w:sz w:val="20"/>
          <w:szCs w:val="20"/>
        </w:rPr>
      </w:pPr>
      <w:r w:rsidRPr="00EE2712">
        <w:rPr>
          <w:rFonts w:ascii="Palatino Linotype" w:hAnsi="Palatino Linotype" w:cstheme="minorHAnsi"/>
          <w:sz w:val="20"/>
          <w:szCs w:val="20"/>
        </w:rPr>
        <w:t>Analyzing the superior sectors of SMEs in the Regency / City in Jambi Province.</w:t>
      </w:r>
    </w:p>
    <w:p w:rsidR="00077E67" w:rsidRPr="00BF5D40" w:rsidRDefault="00BF5D40" w:rsidP="00BF5D40">
      <w:pPr>
        <w:pStyle w:val="ListParagraph"/>
        <w:numPr>
          <w:ilvl w:val="0"/>
          <w:numId w:val="7"/>
        </w:numPr>
        <w:spacing w:after="120" w:line="240" w:lineRule="auto"/>
        <w:jc w:val="both"/>
        <w:rPr>
          <w:rFonts w:ascii="Palatino Linotype" w:hAnsi="Palatino Linotype" w:cstheme="minorHAnsi"/>
          <w:sz w:val="20"/>
          <w:szCs w:val="20"/>
        </w:rPr>
      </w:pPr>
      <w:r w:rsidRPr="00EE2712">
        <w:rPr>
          <w:rFonts w:ascii="Palatino Linotype" w:hAnsi="Palatino Linotype" w:cstheme="minorHAnsi"/>
          <w:sz w:val="20"/>
          <w:szCs w:val="20"/>
        </w:rPr>
        <w:t>Analyze the superior commodities of MSMEs scattered in the Regency / City in Jambi Province.</w:t>
      </w: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Method</w:t>
      </w:r>
    </w:p>
    <w:p w:rsidR="00BF5D40" w:rsidRPr="00B757C1" w:rsidRDefault="00BF5D40" w:rsidP="00BF5D40">
      <w:pPr>
        <w:spacing w:after="12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This study used survey methods, by collecting information from respondents who are expected to represent the entire population. Information collected from respondents in this survey method is using list of prepared questionnaires (Nazir, 2005). The collection of information from respondents is also done by means of Focus Group Discussion (FGD) and in-depth interviews with keypersons.</w:t>
      </w:r>
    </w:p>
    <w:p w:rsidR="00BF5D40" w:rsidRPr="00B757C1" w:rsidRDefault="00BF5D40" w:rsidP="00BF5D40">
      <w:pPr>
        <w:spacing w:after="12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The data in this research consist of secondary data and primary data. Secondary data is obtained from offices and institutions related to MSMEs in Jambi Province, such as Department of Cooperative and MSMEs, Department of Industry and Commerce, Central Bureau of Statistics, Department of Planning, Indonesia Bank, and other related institutions.</w:t>
      </w:r>
    </w:p>
    <w:p w:rsidR="00BF5D40" w:rsidRPr="00B757C1" w:rsidRDefault="00BF5D40" w:rsidP="00BF5D40">
      <w:pPr>
        <w:spacing w:after="12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The primary data collected through a survey of MSMEs. The population is all MSMEs spread in 11 regency / city in Province. Samples are MSMEs that have a superior commodity, the size of the sample is determined purposively based on the MSME profile.</w:t>
      </w:r>
    </w:p>
    <w:p w:rsidR="00BF5D40" w:rsidRPr="00B757C1" w:rsidRDefault="00BF5D40" w:rsidP="00BF5D40">
      <w:pPr>
        <w:spacing w:after="12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To answer the first problem, descriptive analysis is used, which analyzing development and contribution of MSMEs to GRDP and absorption of labor in last five years at 11 regency / city in Jambi Province.</w:t>
      </w:r>
    </w:p>
    <w:p w:rsidR="00BF5D40" w:rsidRPr="00B757C1" w:rsidRDefault="00BF5D40" w:rsidP="00BF5D40">
      <w:pPr>
        <w:spacing w:after="12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 xml:space="preserve"> To answer the second problem, multiple linear regression analysis is used with panel data, ie the last five years data in 11 regencies / city in Jambi Province. Model specifications in accordance with the formulation of research problems are shown by the following equation:</w:t>
      </w:r>
    </w:p>
    <w:p w:rsidR="00BF5D40" w:rsidRPr="00B757C1" w:rsidRDefault="00BF5D40" w:rsidP="00BF5D40">
      <w:pPr>
        <w:spacing w:after="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logGRDPMit = a</w:t>
      </w:r>
      <w:r w:rsidRPr="00B757C1">
        <w:rPr>
          <w:rFonts w:ascii="Palatino Linotype" w:hAnsi="Palatino Linotype" w:cstheme="minorHAnsi"/>
          <w:sz w:val="20"/>
          <w:szCs w:val="20"/>
          <w:vertAlign w:val="subscript"/>
        </w:rPr>
        <w:t>0</w:t>
      </w:r>
      <w:r w:rsidRPr="00B757C1">
        <w:rPr>
          <w:rFonts w:ascii="Palatino Linotype" w:hAnsi="Palatino Linotype" w:cstheme="minorHAnsi"/>
          <w:sz w:val="20"/>
          <w:szCs w:val="20"/>
        </w:rPr>
        <w:t xml:space="preserve"> + a</w:t>
      </w:r>
      <w:r w:rsidRPr="00B757C1">
        <w:rPr>
          <w:rFonts w:ascii="Palatino Linotype" w:hAnsi="Palatino Linotype" w:cstheme="minorHAnsi"/>
          <w:sz w:val="20"/>
          <w:szCs w:val="20"/>
          <w:vertAlign w:val="subscript"/>
        </w:rPr>
        <w:t>1</w:t>
      </w:r>
      <w:r w:rsidRPr="00B757C1">
        <w:rPr>
          <w:rFonts w:ascii="Palatino Linotype" w:hAnsi="Palatino Linotype" w:cstheme="minorHAnsi"/>
          <w:sz w:val="20"/>
          <w:szCs w:val="20"/>
        </w:rPr>
        <w:t>logKREMit + a</w:t>
      </w:r>
      <w:r w:rsidRPr="00B757C1">
        <w:rPr>
          <w:rFonts w:ascii="Palatino Linotype" w:hAnsi="Palatino Linotype" w:cstheme="minorHAnsi"/>
          <w:sz w:val="20"/>
          <w:szCs w:val="20"/>
          <w:vertAlign w:val="subscript"/>
        </w:rPr>
        <w:t>2</w:t>
      </w:r>
      <w:r w:rsidRPr="00B757C1">
        <w:rPr>
          <w:rFonts w:ascii="Palatino Linotype" w:hAnsi="Palatino Linotype" w:cstheme="minorHAnsi"/>
          <w:sz w:val="20"/>
          <w:szCs w:val="20"/>
        </w:rPr>
        <w:t>logPTKMit + a</w:t>
      </w:r>
      <w:r w:rsidRPr="00B757C1">
        <w:rPr>
          <w:rFonts w:ascii="Palatino Linotype" w:hAnsi="Palatino Linotype" w:cstheme="minorHAnsi"/>
          <w:sz w:val="20"/>
          <w:szCs w:val="20"/>
          <w:vertAlign w:val="subscript"/>
        </w:rPr>
        <w:t>3</w:t>
      </w:r>
      <w:r w:rsidRPr="00B757C1">
        <w:rPr>
          <w:rFonts w:ascii="Palatino Linotype" w:hAnsi="Palatino Linotype" w:cstheme="minorHAnsi"/>
          <w:sz w:val="20"/>
          <w:szCs w:val="20"/>
        </w:rPr>
        <w:t>logJUSMit + a</w:t>
      </w:r>
      <w:r w:rsidRPr="00B757C1">
        <w:rPr>
          <w:rFonts w:ascii="Palatino Linotype" w:hAnsi="Palatino Linotype" w:cstheme="minorHAnsi"/>
          <w:sz w:val="20"/>
          <w:szCs w:val="20"/>
          <w:vertAlign w:val="subscript"/>
        </w:rPr>
        <w:t>4</w:t>
      </w:r>
      <w:r w:rsidRPr="00B757C1">
        <w:rPr>
          <w:rFonts w:ascii="Palatino Linotype" w:hAnsi="Palatino Linotype" w:cstheme="minorHAnsi"/>
          <w:sz w:val="20"/>
          <w:szCs w:val="20"/>
        </w:rPr>
        <w:t>logASTM + e</w:t>
      </w:r>
      <w:r w:rsidRPr="00B757C1">
        <w:rPr>
          <w:rFonts w:ascii="Palatino Linotype" w:hAnsi="Palatino Linotype" w:cstheme="minorHAnsi"/>
          <w:sz w:val="20"/>
          <w:szCs w:val="20"/>
          <w:vertAlign w:val="subscript"/>
        </w:rPr>
        <w:t>1</w:t>
      </w:r>
      <w:r w:rsidRPr="00B757C1">
        <w:rPr>
          <w:rFonts w:ascii="Palatino Linotype" w:hAnsi="Palatino Linotype" w:cstheme="minorHAnsi"/>
          <w:sz w:val="20"/>
          <w:szCs w:val="20"/>
        </w:rPr>
        <w:t>it</w:t>
      </w:r>
      <w:r w:rsidR="00A94CB9">
        <w:rPr>
          <w:rFonts w:ascii="Palatino Linotype" w:hAnsi="Palatino Linotype" w:cstheme="minorHAnsi"/>
          <w:sz w:val="20"/>
          <w:szCs w:val="20"/>
        </w:rPr>
        <w:t>......................(1)</w:t>
      </w:r>
    </w:p>
    <w:p w:rsidR="00BF5D40" w:rsidRDefault="00BF5D40" w:rsidP="00BF5D40">
      <w:pPr>
        <w:spacing w:after="0" w:line="240" w:lineRule="auto"/>
        <w:ind w:firstLine="284"/>
        <w:jc w:val="both"/>
        <w:rPr>
          <w:rFonts w:ascii="Palatino Linotype" w:hAnsi="Palatino Linotype" w:cstheme="minorHAnsi"/>
          <w:sz w:val="20"/>
          <w:szCs w:val="20"/>
        </w:rPr>
      </w:pPr>
    </w:p>
    <w:p w:rsidR="00A94CB9" w:rsidRDefault="00A94CB9" w:rsidP="00BF5D40">
      <w:pPr>
        <w:spacing w:after="0" w:line="240" w:lineRule="auto"/>
        <w:ind w:firstLine="284"/>
        <w:jc w:val="both"/>
        <w:rPr>
          <w:rFonts w:ascii="Palatino Linotype" w:hAnsi="Palatino Linotype" w:cstheme="minorHAnsi"/>
          <w:sz w:val="20"/>
          <w:szCs w:val="20"/>
        </w:rPr>
      </w:pPr>
      <w:r>
        <w:rPr>
          <w:rFonts w:ascii="Palatino Linotype" w:hAnsi="Palatino Linotype" w:cstheme="minorHAnsi"/>
          <w:sz w:val="20"/>
          <w:szCs w:val="20"/>
        </w:rPr>
        <w:t>where:</w:t>
      </w:r>
    </w:p>
    <w:p w:rsidR="00BF5D40" w:rsidRPr="00B757C1" w:rsidRDefault="00BF5D40" w:rsidP="00BF5D40">
      <w:pPr>
        <w:spacing w:after="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GRDPM = Gross Domestic Product of MSMEs</w:t>
      </w:r>
    </w:p>
    <w:p w:rsidR="00BF5D40" w:rsidRPr="00B757C1" w:rsidRDefault="00BF5D40" w:rsidP="00BF5D40">
      <w:pPr>
        <w:spacing w:after="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KREM = MSMEs Credit</w:t>
      </w:r>
    </w:p>
    <w:p w:rsidR="00BF5D40" w:rsidRPr="00B757C1" w:rsidRDefault="00BF5D40" w:rsidP="00BF5D40">
      <w:pPr>
        <w:spacing w:after="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JUSM = Number of MSMEs Business Units</w:t>
      </w:r>
    </w:p>
    <w:p w:rsidR="00BF5D40" w:rsidRPr="00B757C1" w:rsidRDefault="00BF5D40" w:rsidP="00BF5D40">
      <w:pPr>
        <w:spacing w:after="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PTKM = Total Absorption of MSMEs Business Workers</w:t>
      </w:r>
    </w:p>
    <w:p w:rsidR="00BF5D40" w:rsidRDefault="00BF5D40" w:rsidP="00BF5D40">
      <w:pPr>
        <w:spacing w:after="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ASTM = MSMEs Assets</w:t>
      </w:r>
    </w:p>
    <w:p w:rsidR="00A30D3F" w:rsidRDefault="00BF5D40" w:rsidP="00BF5D40">
      <w:pPr>
        <w:spacing w:after="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i = Regency / City in Jambi Province (11)</w:t>
      </w:r>
    </w:p>
    <w:p w:rsidR="00BF5D40" w:rsidRPr="00B757C1" w:rsidRDefault="00BF5D40" w:rsidP="00BF5D40">
      <w:pPr>
        <w:spacing w:after="12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t = Time Period 2010 - 2015</w:t>
      </w:r>
    </w:p>
    <w:p w:rsidR="00BF5D40" w:rsidRPr="00B757C1" w:rsidRDefault="00BF5D40" w:rsidP="00BF5D40">
      <w:pPr>
        <w:spacing w:after="120" w:line="240" w:lineRule="auto"/>
        <w:ind w:firstLine="284"/>
        <w:jc w:val="both"/>
        <w:rPr>
          <w:rFonts w:ascii="Palatino Linotype" w:hAnsi="Palatino Linotype" w:cstheme="minorHAnsi"/>
          <w:sz w:val="20"/>
          <w:szCs w:val="20"/>
        </w:rPr>
      </w:pPr>
    </w:p>
    <w:p w:rsidR="00BF5D40" w:rsidRPr="00B757C1" w:rsidRDefault="00BF5D40" w:rsidP="00BF5D40">
      <w:pPr>
        <w:spacing w:after="12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To answer the third problem used Location Qoutient Analysis (LQ), which determines the superior commodities of MSMEs in 11 regency / city with the following formula:</w:t>
      </w:r>
    </w:p>
    <w:p w:rsidR="00BF5D40" w:rsidRPr="00A94CB9" w:rsidRDefault="00BF5D40" w:rsidP="00BF5D40">
      <w:pPr>
        <w:spacing w:after="120" w:line="240" w:lineRule="auto"/>
        <w:ind w:firstLine="284"/>
        <w:jc w:val="both"/>
        <w:rPr>
          <w:rFonts w:ascii="Palatino Linotype" w:hAnsi="Palatino Linotype"/>
          <w:sz w:val="20"/>
          <w:szCs w:val="20"/>
        </w:rPr>
      </w:pPr>
      <w:r w:rsidRPr="00B757C1">
        <w:rPr>
          <w:rFonts w:ascii="Palatino Linotype" w:hAnsi="Palatino Linotype"/>
          <w:sz w:val="20"/>
          <w:szCs w:val="20"/>
          <w:lang w:eastAsia="id-ID"/>
        </w:rPr>
        <w:t xml:space="preserve">LQ = </w:t>
      </w:r>
      <m:oMath>
        <m:f>
          <m:fPr>
            <m:ctrlPr>
              <w:rPr>
                <w:rFonts w:ascii="Cambria Math" w:hAnsi="Cambria Math"/>
                <w:i/>
                <w:sz w:val="20"/>
                <w:szCs w:val="20"/>
              </w:rPr>
            </m:ctrlPr>
          </m:fPr>
          <m:num>
            <m:f>
              <m:fPr>
                <m:type m:val="skw"/>
                <m:ctrlPr>
                  <w:rPr>
                    <w:rFonts w:ascii="Cambria Math" w:hAnsi="Cambria Math"/>
                    <w:i/>
                    <w:sz w:val="20"/>
                    <w:szCs w:val="20"/>
                  </w:rPr>
                </m:ctrlPr>
              </m:fPr>
              <m:num>
                <m:r>
                  <w:rPr>
                    <w:rFonts w:ascii="Cambria Math" w:hAnsi="Cambria Math"/>
                    <w:sz w:val="20"/>
                    <w:szCs w:val="20"/>
                  </w:rPr>
                  <m:t>Eij</m:t>
                </m:r>
              </m:num>
              <m:den>
                <m:r>
                  <w:rPr>
                    <w:rFonts w:ascii="Cambria Math" w:hAnsi="Cambria Math"/>
                    <w:sz w:val="20"/>
                    <w:szCs w:val="20"/>
                  </w:rPr>
                  <m:t>Ej</m:t>
                </m:r>
              </m:den>
            </m:f>
          </m:num>
          <m:den>
            <m:f>
              <m:fPr>
                <m:type m:val="skw"/>
                <m:ctrlPr>
                  <w:rPr>
                    <w:rFonts w:ascii="Cambria Math" w:hAnsi="Cambria Math"/>
                    <w:i/>
                    <w:sz w:val="20"/>
                    <w:szCs w:val="20"/>
                  </w:rPr>
                </m:ctrlPr>
              </m:fPr>
              <m:num>
                <m:r>
                  <w:rPr>
                    <w:rFonts w:ascii="Cambria Math" w:hAnsi="Cambria Math"/>
                    <w:sz w:val="20"/>
                    <w:szCs w:val="20"/>
                  </w:rPr>
                  <m:t>Ein</m:t>
                </m:r>
              </m:num>
              <m:den>
                <m:r>
                  <w:rPr>
                    <w:rFonts w:ascii="Cambria Math" w:hAnsi="Cambria Math"/>
                    <w:sz w:val="20"/>
                    <w:szCs w:val="20"/>
                  </w:rPr>
                  <m:t>En</m:t>
                </m:r>
              </m:den>
            </m:f>
          </m:den>
        </m:f>
      </m:oMath>
      <w:r w:rsidRPr="00B757C1">
        <w:rPr>
          <w:rFonts w:ascii="Palatino Linotype" w:hAnsi="Palatino Linotype"/>
          <w:sz w:val="20"/>
          <w:szCs w:val="20"/>
        </w:rPr>
        <w:t xml:space="preserve"> ............................................................................................................</w:t>
      </w:r>
      <w:r>
        <w:rPr>
          <w:rFonts w:ascii="Palatino Linotype" w:hAnsi="Palatino Linotype"/>
          <w:sz w:val="20"/>
          <w:szCs w:val="20"/>
        </w:rPr>
        <w:t>.........................................</w:t>
      </w:r>
      <w:r w:rsidRPr="00B757C1">
        <w:rPr>
          <w:rFonts w:ascii="Palatino Linotype" w:hAnsi="Palatino Linotype"/>
          <w:sz w:val="20"/>
          <w:szCs w:val="20"/>
        </w:rPr>
        <w:t>.</w:t>
      </w:r>
      <w:r w:rsidR="00A94CB9">
        <w:rPr>
          <w:rFonts w:ascii="Palatino Linotype" w:hAnsi="Palatino Linotype"/>
          <w:sz w:val="20"/>
          <w:szCs w:val="20"/>
        </w:rPr>
        <w:t>(2</w:t>
      </w:r>
      <w:r w:rsidRPr="00B757C1">
        <w:rPr>
          <w:rFonts w:ascii="Palatino Linotype" w:hAnsi="Palatino Linotype"/>
          <w:sz w:val="20"/>
          <w:szCs w:val="20"/>
        </w:rPr>
        <w:t>)</w:t>
      </w:r>
    </w:p>
    <w:p w:rsidR="00BF5D40" w:rsidRPr="00B757C1" w:rsidRDefault="00BF5D40" w:rsidP="00BF5D40">
      <w:pPr>
        <w:spacing w:after="12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Where:</w:t>
      </w:r>
    </w:p>
    <w:p w:rsidR="00BF5D40" w:rsidRPr="00B757C1" w:rsidRDefault="00BF5D40" w:rsidP="00BF5D40">
      <w:pPr>
        <w:spacing w:after="12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LQ = Location Qoutient Coefficient</w:t>
      </w:r>
    </w:p>
    <w:p w:rsidR="00BF5D40" w:rsidRPr="00B757C1" w:rsidRDefault="00BF5D40" w:rsidP="00BF5D40">
      <w:pPr>
        <w:spacing w:after="12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Eij = GRDP Commodities i in the study area</w:t>
      </w:r>
    </w:p>
    <w:p w:rsidR="00BF5D40" w:rsidRPr="00B757C1" w:rsidRDefault="00BF5D40" w:rsidP="00BF5D40">
      <w:pPr>
        <w:spacing w:after="12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lastRenderedPageBreak/>
        <w:t>Ej = Total GRDP Commodities i in the study area</w:t>
      </w:r>
    </w:p>
    <w:p w:rsidR="00BF5D40" w:rsidRPr="00B757C1" w:rsidRDefault="00BF5D40" w:rsidP="00BF5D40">
      <w:pPr>
        <w:spacing w:after="12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Ein = GRDP Commodities i in reference region</w:t>
      </w:r>
    </w:p>
    <w:p w:rsidR="00BF5D40" w:rsidRPr="00B757C1" w:rsidRDefault="00BF5D40" w:rsidP="00BF5D40">
      <w:pPr>
        <w:spacing w:after="12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En = Total GRDP Commodities i in reference region</w:t>
      </w:r>
    </w:p>
    <w:p w:rsidR="00BF5D40" w:rsidRPr="00B757C1" w:rsidRDefault="00BF5D40" w:rsidP="00BF5D40">
      <w:pPr>
        <w:spacing w:after="120" w:line="240" w:lineRule="auto"/>
        <w:ind w:firstLine="284"/>
        <w:jc w:val="both"/>
        <w:rPr>
          <w:rFonts w:ascii="Palatino Linotype" w:hAnsi="Palatino Linotype" w:cstheme="minorHAnsi"/>
          <w:sz w:val="20"/>
          <w:szCs w:val="20"/>
        </w:rPr>
      </w:pPr>
    </w:p>
    <w:p w:rsidR="00BF5D40" w:rsidRDefault="00BF5D40" w:rsidP="00BF5D40">
      <w:pPr>
        <w:spacing w:after="0" w:line="240" w:lineRule="auto"/>
        <w:ind w:firstLine="284"/>
        <w:jc w:val="both"/>
        <w:rPr>
          <w:rFonts w:ascii="Palatino Linotype" w:hAnsi="Palatino Linotype" w:cstheme="minorHAnsi"/>
          <w:sz w:val="20"/>
          <w:szCs w:val="20"/>
        </w:rPr>
      </w:pPr>
      <w:r w:rsidRPr="00B757C1">
        <w:rPr>
          <w:rFonts w:ascii="Palatino Linotype" w:hAnsi="Palatino Linotype" w:cstheme="minorHAnsi"/>
          <w:sz w:val="20"/>
          <w:szCs w:val="20"/>
        </w:rPr>
        <w:t>To answer the fourth problem of identifying superior commodities in the regency / city of Jambi Province, the method of analyzing the relative economy potential of regional is used. There are several analytical tools that can be used to determine the relative economic potential of a region such as Location Quotien (LQ) analysis and Shift Share analysis. The combination of both LQ and Shift Share analysis will provide superior competitive commodities in Jambi Province's regency / city.</w:t>
      </w:r>
    </w:p>
    <w:p w:rsidR="00BF5D40" w:rsidRPr="00BF5D40" w:rsidRDefault="00BF5D40" w:rsidP="00BF5D40">
      <w:pPr>
        <w:spacing w:after="0" w:line="240" w:lineRule="auto"/>
        <w:ind w:firstLine="284"/>
        <w:jc w:val="both"/>
        <w:rPr>
          <w:rFonts w:ascii="Palatino Linotype" w:hAnsi="Palatino Linotype" w:cstheme="minorHAnsi"/>
          <w:sz w:val="20"/>
          <w:szCs w:val="20"/>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Results and Discussion</w:t>
      </w:r>
    </w:p>
    <w:p w:rsidR="00BF5D40" w:rsidRPr="00B757C1" w:rsidRDefault="00BF5D40" w:rsidP="00BF5D40">
      <w:pPr>
        <w:numPr>
          <w:ilvl w:val="0"/>
          <w:numId w:val="8"/>
        </w:numPr>
        <w:spacing w:after="0" w:line="360" w:lineRule="auto"/>
        <w:ind w:left="426" w:hanging="426"/>
        <w:jc w:val="both"/>
        <w:rPr>
          <w:rFonts w:ascii="Palatino Linotype" w:hAnsi="Palatino Linotype"/>
          <w:b/>
          <w:bCs/>
          <w:sz w:val="20"/>
          <w:szCs w:val="20"/>
        </w:rPr>
      </w:pPr>
      <w:r w:rsidRPr="00B757C1">
        <w:rPr>
          <w:rFonts w:ascii="Palatino Linotype" w:hAnsi="Palatino Linotype"/>
          <w:b/>
          <w:bCs/>
          <w:color w:val="000000"/>
          <w:sz w:val="20"/>
          <w:szCs w:val="20"/>
        </w:rPr>
        <w:t>MSMEs DEVELOPMENT AND GROWTH DURING 2010 – 2015 IN JAMBI PROVINCE</w:t>
      </w:r>
    </w:p>
    <w:tbl>
      <w:tblPr>
        <w:tblW w:w="9088" w:type="dxa"/>
        <w:tblInd w:w="93" w:type="dxa"/>
        <w:tblLayout w:type="fixed"/>
        <w:tblLook w:val="04A0"/>
      </w:tblPr>
      <w:tblGrid>
        <w:gridCol w:w="441"/>
        <w:gridCol w:w="708"/>
        <w:gridCol w:w="2126"/>
        <w:gridCol w:w="1134"/>
        <w:gridCol w:w="1134"/>
        <w:gridCol w:w="1418"/>
        <w:gridCol w:w="2127"/>
      </w:tblGrid>
      <w:tr w:rsidR="00BF5D40" w:rsidRPr="00B757C1" w:rsidTr="00A55508">
        <w:trPr>
          <w:trHeight w:val="315"/>
        </w:trPr>
        <w:tc>
          <w:tcPr>
            <w:tcW w:w="9088" w:type="dxa"/>
            <w:gridSpan w:val="7"/>
            <w:tcBorders>
              <w:top w:val="nil"/>
              <w:left w:val="nil"/>
              <w:bottom w:val="nil"/>
              <w:right w:val="nil"/>
            </w:tcBorders>
            <w:shd w:val="clear" w:color="auto" w:fill="auto"/>
            <w:noWrap/>
            <w:vAlign w:val="bottom"/>
            <w:hideMark/>
          </w:tcPr>
          <w:p w:rsidR="00BF5D40" w:rsidRPr="00B757C1" w:rsidRDefault="00BF5D40" w:rsidP="00A55508">
            <w:pPr>
              <w:spacing w:after="0"/>
              <w:rPr>
                <w:rFonts w:ascii="Palatino Linotype" w:hAnsi="Palatino Linotype"/>
                <w:b/>
                <w:bCs/>
                <w:color w:val="000000"/>
                <w:sz w:val="20"/>
                <w:szCs w:val="20"/>
              </w:rPr>
            </w:pPr>
            <w:r w:rsidRPr="00B757C1">
              <w:rPr>
                <w:rFonts w:ascii="Palatino Linotype" w:hAnsi="Palatino Linotype"/>
                <w:b/>
                <w:bCs/>
                <w:color w:val="000000"/>
                <w:sz w:val="20"/>
                <w:szCs w:val="20"/>
              </w:rPr>
              <w:t>Table 1. MSMEs Development during 2010 – 2015 in Jambi Province</w:t>
            </w:r>
          </w:p>
        </w:tc>
      </w:tr>
      <w:tr w:rsidR="00BF5D40" w:rsidRPr="00B757C1" w:rsidTr="00A55508">
        <w:trPr>
          <w:trHeight w:val="315"/>
        </w:trPr>
        <w:tc>
          <w:tcPr>
            <w:tcW w:w="441"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rPr>
                <w:rFonts w:ascii="Palatino Linotype" w:hAnsi="Palatino Linotype"/>
                <w:color w:val="000000"/>
                <w:sz w:val="20"/>
                <w:szCs w:val="20"/>
              </w:rPr>
            </w:pPr>
          </w:p>
        </w:tc>
        <w:tc>
          <w:tcPr>
            <w:tcW w:w="708"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rPr>
                <w:rFonts w:ascii="Palatino Linotype" w:hAnsi="Palatino Linotype"/>
                <w:color w:val="000000"/>
                <w:sz w:val="20"/>
                <w:szCs w:val="20"/>
              </w:rPr>
            </w:pPr>
          </w:p>
        </w:tc>
        <w:tc>
          <w:tcPr>
            <w:tcW w:w="2126"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line="240" w:lineRule="auto"/>
              <w:rPr>
                <w:rFonts w:ascii="Palatino Linotype" w:hAnsi="Palatino Linotype"/>
                <w:color w:val="000000"/>
                <w:sz w:val="20"/>
                <w:szCs w:val="20"/>
              </w:rPr>
            </w:pPr>
          </w:p>
        </w:tc>
        <w:tc>
          <w:tcPr>
            <w:tcW w:w="1134"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rPr>
                <w:rFonts w:ascii="Palatino Linotype" w:hAnsi="Palatino Linotype"/>
                <w:color w:val="000000"/>
                <w:sz w:val="20"/>
                <w:szCs w:val="20"/>
              </w:rPr>
            </w:pPr>
          </w:p>
        </w:tc>
        <w:tc>
          <w:tcPr>
            <w:tcW w:w="1134"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rPr>
                <w:rFonts w:ascii="Palatino Linotype" w:hAnsi="Palatino Linotype"/>
                <w:color w:val="000000"/>
                <w:sz w:val="20"/>
                <w:szCs w:val="20"/>
              </w:rPr>
            </w:pPr>
          </w:p>
        </w:tc>
        <w:tc>
          <w:tcPr>
            <w:tcW w:w="1418"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rPr>
                <w:rFonts w:ascii="Palatino Linotype" w:hAnsi="Palatino Linotype"/>
                <w:color w:val="000000"/>
                <w:sz w:val="20"/>
                <w:szCs w:val="20"/>
              </w:rPr>
            </w:pPr>
          </w:p>
        </w:tc>
        <w:tc>
          <w:tcPr>
            <w:tcW w:w="2127"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rPr>
                <w:rFonts w:ascii="Palatino Linotype" w:hAnsi="Palatino Linotype"/>
                <w:color w:val="000000"/>
                <w:sz w:val="20"/>
                <w:szCs w:val="20"/>
              </w:rPr>
            </w:pPr>
          </w:p>
        </w:tc>
      </w:tr>
      <w:tr w:rsidR="00BF5D40" w:rsidRPr="00B757C1" w:rsidTr="00A55508">
        <w:trPr>
          <w:trHeight w:val="750"/>
        </w:trPr>
        <w:tc>
          <w:tcPr>
            <w:tcW w:w="441" w:type="dxa"/>
            <w:tcBorders>
              <w:top w:val="single" w:sz="12" w:space="0" w:color="auto"/>
              <w:bottom w:val="single" w:sz="12" w:space="0" w:color="auto"/>
            </w:tcBorders>
            <w:shd w:val="clear" w:color="auto" w:fill="auto"/>
            <w:noWrap/>
            <w:vAlign w:val="center"/>
            <w:hideMark/>
          </w:tcPr>
          <w:p w:rsidR="00BF5D40" w:rsidRPr="00B757C1" w:rsidRDefault="00BF5D40" w:rsidP="00A55508">
            <w:pPr>
              <w:spacing w:after="0"/>
              <w:ind w:left="-93" w:right="-108"/>
              <w:jc w:val="center"/>
              <w:rPr>
                <w:rFonts w:ascii="Palatino Linotype" w:hAnsi="Palatino Linotype"/>
                <w:b/>
                <w:bCs/>
                <w:color w:val="000000"/>
                <w:sz w:val="18"/>
                <w:szCs w:val="18"/>
              </w:rPr>
            </w:pPr>
            <w:r w:rsidRPr="00B757C1">
              <w:rPr>
                <w:rFonts w:ascii="Palatino Linotype" w:hAnsi="Palatino Linotype"/>
                <w:b/>
                <w:bCs/>
                <w:color w:val="000000"/>
                <w:sz w:val="18"/>
                <w:szCs w:val="18"/>
              </w:rPr>
              <w:t>NO.</w:t>
            </w:r>
          </w:p>
        </w:tc>
        <w:tc>
          <w:tcPr>
            <w:tcW w:w="708" w:type="dxa"/>
            <w:tcBorders>
              <w:top w:val="single" w:sz="12" w:space="0" w:color="auto"/>
              <w:bottom w:val="single" w:sz="12" w:space="0" w:color="auto"/>
            </w:tcBorders>
            <w:shd w:val="clear" w:color="auto" w:fill="auto"/>
            <w:vAlign w:val="center"/>
            <w:hideMark/>
          </w:tcPr>
          <w:p w:rsidR="00BF5D40" w:rsidRPr="00B757C1" w:rsidRDefault="00BF5D40" w:rsidP="00A55508">
            <w:pPr>
              <w:spacing w:after="0"/>
              <w:ind w:left="-108" w:right="-108"/>
              <w:jc w:val="center"/>
              <w:rPr>
                <w:rFonts w:ascii="Palatino Linotype" w:hAnsi="Palatino Linotype"/>
                <w:b/>
                <w:bCs/>
                <w:color w:val="000000"/>
                <w:sz w:val="18"/>
                <w:szCs w:val="18"/>
              </w:rPr>
            </w:pPr>
            <w:r w:rsidRPr="00B757C1">
              <w:rPr>
                <w:rFonts w:ascii="Palatino Linotype" w:hAnsi="Palatino Linotype"/>
                <w:b/>
                <w:bCs/>
                <w:color w:val="000000"/>
                <w:sz w:val="18"/>
                <w:szCs w:val="18"/>
              </w:rPr>
              <w:t>YEAR</w:t>
            </w:r>
          </w:p>
        </w:tc>
        <w:tc>
          <w:tcPr>
            <w:tcW w:w="2126" w:type="dxa"/>
            <w:tcBorders>
              <w:top w:val="single" w:sz="12" w:space="0" w:color="auto"/>
              <w:bottom w:val="single" w:sz="12" w:space="0" w:color="auto"/>
            </w:tcBorders>
            <w:shd w:val="clear" w:color="auto" w:fill="auto"/>
            <w:vAlign w:val="center"/>
            <w:hideMark/>
          </w:tcPr>
          <w:p w:rsidR="00BF5D40" w:rsidRPr="00B757C1" w:rsidRDefault="00BF5D40" w:rsidP="00A55508">
            <w:pPr>
              <w:spacing w:after="0"/>
              <w:ind w:left="-285" w:firstLine="285"/>
              <w:jc w:val="center"/>
              <w:rPr>
                <w:rFonts w:ascii="Palatino Linotype" w:hAnsi="Palatino Linotype"/>
                <w:b/>
                <w:bCs/>
                <w:color w:val="000000"/>
                <w:sz w:val="18"/>
                <w:szCs w:val="18"/>
              </w:rPr>
            </w:pPr>
            <w:r w:rsidRPr="00B757C1">
              <w:rPr>
                <w:rFonts w:ascii="Palatino Linotype" w:hAnsi="Palatino Linotype"/>
                <w:b/>
                <w:bCs/>
                <w:color w:val="000000"/>
                <w:sz w:val="18"/>
                <w:szCs w:val="18"/>
              </w:rPr>
              <w:t>GRDP MSMEs</w:t>
            </w:r>
          </w:p>
        </w:tc>
        <w:tc>
          <w:tcPr>
            <w:tcW w:w="1134" w:type="dxa"/>
            <w:tcBorders>
              <w:top w:val="single" w:sz="12" w:space="0" w:color="auto"/>
              <w:bottom w:val="single" w:sz="12" w:space="0" w:color="auto"/>
            </w:tcBorders>
            <w:shd w:val="clear" w:color="auto" w:fill="auto"/>
            <w:vAlign w:val="center"/>
            <w:hideMark/>
          </w:tcPr>
          <w:p w:rsidR="00BF5D40" w:rsidRPr="00B757C1" w:rsidRDefault="00BF5D40" w:rsidP="00A55508">
            <w:pPr>
              <w:spacing w:after="0"/>
              <w:jc w:val="center"/>
              <w:rPr>
                <w:rFonts w:ascii="Palatino Linotype" w:hAnsi="Palatino Linotype"/>
                <w:b/>
                <w:bCs/>
                <w:color w:val="000000"/>
                <w:sz w:val="18"/>
                <w:szCs w:val="18"/>
              </w:rPr>
            </w:pPr>
            <w:r w:rsidRPr="00B757C1">
              <w:rPr>
                <w:rFonts w:ascii="Palatino Linotype" w:hAnsi="Palatino Linotype"/>
                <w:b/>
                <w:bCs/>
                <w:color w:val="000000"/>
                <w:sz w:val="18"/>
                <w:szCs w:val="18"/>
              </w:rPr>
              <w:t>CREDIT MSMEs</w:t>
            </w:r>
          </w:p>
        </w:tc>
        <w:tc>
          <w:tcPr>
            <w:tcW w:w="1134" w:type="dxa"/>
            <w:tcBorders>
              <w:top w:val="single" w:sz="12" w:space="0" w:color="auto"/>
              <w:bottom w:val="single" w:sz="12" w:space="0" w:color="auto"/>
            </w:tcBorders>
            <w:shd w:val="clear" w:color="auto" w:fill="auto"/>
            <w:vAlign w:val="center"/>
            <w:hideMark/>
          </w:tcPr>
          <w:p w:rsidR="00BF5D40" w:rsidRPr="00B757C1" w:rsidRDefault="00BF5D40" w:rsidP="00A55508">
            <w:pPr>
              <w:spacing w:after="0"/>
              <w:jc w:val="center"/>
              <w:rPr>
                <w:rFonts w:ascii="Palatino Linotype" w:hAnsi="Palatino Linotype"/>
                <w:b/>
                <w:bCs/>
                <w:color w:val="000000"/>
                <w:sz w:val="18"/>
                <w:szCs w:val="18"/>
              </w:rPr>
            </w:pPr>
            <w:r w:rsidRPr="00B757C1">
              <w:rPr>
                <w:rFonts w:ascii="Palatino Linotype" w:hAnsi="Palatino Linotype"/>
                <w:b/>
                <w:bCs/>
                <w:color w:val="000000"/>
                <w:sz w:val="18"/>
                <w:szCs w:val="18"/>
              </w:rPr>
              <w:t>Number of MSMEs</w:t>
            </w:r>
          </w:p>
        </w:tc>
        <w:tc>
          <w:tcPr>
            <w:tcW w:w="1418" w:type="dxa"/>
            <w:tcBorders>
              <w:top w:val="single" w:sz="12" w:space="0" w:color="auto"/>
              <w:bottom w:val="single" w:sz="12" w:space="0" w:color="auto"/>
            </w:tcBorders>
            <w:shd w:val="clear" w:color="auto" w:fill="auto"/>
            <w:vAlign w:val="center"/>
            <w:hideMark/>
          </w:tcPr>
          <w:p w:rsidR="00BF5D40" w:rsidRPr="00B757C1" w:rsidRDefault="00BF5D40" w:rsidP="00A55508">
            <w:pPr>
              <w:spacing w:after="0"/>
              <w:ind w:left="-108" w:right="-108"/>
              <w:jc w:val="center"/>
              <w:rPr>
                <w:rFonts w:ascii="Palatino Linotype" w:hAnsi="Palatino Linotype"/>
                <w:b/>
                <w:bCs/>
                <w:color w:val="000000"/>
                <w:sz w:val="18"/>
                <w:szCs w:val="18"/>
              </w:rPr>
            </w:pPr>
            <w:r w:rsidRPr="00B757C1">
              <w:rPr>
                <w:rFonts w:ascii="Palatino Linotype" w:hAnsi="Palatino Linotype"/>
                <w:b/>
                <w:bCs/>
                <w:color w:val="000000"/>
                <w:sz w:val="18"/>
                <w:szCs w:val="18"/>
              </w:rPr>
              <w:t>MSMEs Employnment</w:t>
            </w:r>
          </w:p>
        </w:tc>
        <w:tc>
          <w:tcPr>
            <w:tcW w:w="2127" w:type="dxa"/>
            <w:tcBorders>
              <w:top w:val="single" w:sz="12" w:space="0" w:color="auto"/>
              <w:bottom w:val="single" w:sz="12" w:space="0" w:color="auto"/>
            </w:tcBorders>
            <w:shd w:val="clear" w:color="auto" w:fill="auto"/>
            <w:vAlign w:val="center"/>
            <w:hideMark/>
          </w:tcPr>
          <w:p w:rsidR="00BF5D40" w:rsidRPr="00B757C1" w:rsidRDefault="00BF5D40" w:rsidP="00A55508">
            <w:pPr>
              <w:spacing w:after="0"/>
              <w:jc w:val="center"/>
              <w:rPr>
                <w:rFonts w:ascii="Palatino Linotype" w:hAnsi="Palatino Linotype"/>
                <w:b/>
                <w:bCs/>
                <w:color w:val="000000"/>
                <w:sz w:val="18"/>
                <w:szCs w:val="18"/>
              </w:rPr>
            </w:pPr>
            <w:r w:rsidRPr="00B757C1">
              <w:rPr>
                <w:rFonts w:ascii="Palatino Linotype" w:hAnsi="Palatino Linotype"/>
                <w:b/>
                <w:bCs/>
                <w:color w:val="000000"/>
                <w:sz w:val="18"/>
                <w:szCs w:val="18"/>
              </w:rPr>
              <w:t>MSMEs ASSET</w:t>
            </w:r>
          </w:p>
        </w:tc>
      </w:tr>
      <w:tr w:rsidR="00BF5D40" w:rsidRPr="00B757C1" w:rsidTr="00A55508">
        <w:trPr>
          <w:trHeight w:val="185"/>
        </w:trPr>
        <w:tc>
          <w:tcPr>
            <w:tcW w:w="441" w:type="dxa"/>
            <w:tcBorders>
              <w:top w:val="single" w:sz="12" w:space="0" w:color="auto"/>
            </w:tcBorders>
            <w:shd w:val="clear" w:color="auto" w:fill="auto"/>
            <w:noWrap/>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1</w:t>
            </w:r>
          </w:p>
        </w:tc>
        <w:tc>
          <w:tcPr>
            <w:tcW w:w="708" w:type="dxa"/>
            <w:tcBorders>
              <w:top w:val="single" w:sz="12" w:space="0" w:color="auto"/>
            </w:tcBorders>
            <w:shd w:val="clear" w:color="auto" w:fill="auto"/>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2010</w:t>
            </w:r>
          </w:p>
        </w:tc>
        <w:tc>
          <w:tcPr>
            <w:tcW w:w="2126" w:type="dxa"/>
            <w:tcBorders>
              <w:top w:val="single" w:sz="12" w:space="0" w:color="auto"/>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436.499.968.788,00</w:t>
            </w:r>
          </w:p>
        </w:tc>
        <w:tc>
          <w:tcPr>
            <w:tcW w:w="1134" w:type="dxa"/>
            <w:tcBorders>
              <w:top w:val="single" w:sz="12" w:space="0" w:color="auto"/>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38.817,88</w:t>
            </w:r>
          </w:p>
        </w:tc>
        <w:tc>
          <w:tcPr>
            <w:tcW w:w="1134" w:type="dxa"/>
            <w:tcBorders>
              <w:top w:val="single" w:sz="12" w:space="0" w:color="auto"/>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65.240,00</w:t>
            </w:r>
          </w:p>
        </w:tc>
        <w:tc>
          <w:tcPr>
            <w:tcW w:w="1418" w:type="dxa"/>
            <w:tcBorders>
              <w:top w:val="single" w:sz="12" w:space="0" w:color="auto"/>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104.042,00</w:t>
            </w:r>
          </w:p>
        </w:tc>
        <w:tc>
          <w:tcPr>
            <w:tcW w:w="2127" w:type="dxa"/>
            <w:tcBorders>
              <w:top w:val="single" w:sz="12" w:space="0" w:color="auto"/>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132.026.748.151,20</w:t>
            </w:r>
          </w:p>
        </w:tc>
      </w:tr>
      <w:tr w:rsidR="00BF5D40" w:rsidRPr="00B757C1" w:rsidTr="00A55508">
        <w:trPr>
          <w:trHeight w:val="233"/>
        </w:trPr>
        <w:tc>
          <w:tcPr>
            <w:tcW w:w="441" w:type="dxa"/>
            <w:tcBorders>
              <w:top w:val="nil"/>
            </w:tcBorders>
            <w:shd w:val="clear" w:color="auto" w:fill="auto"/>
            <w:noWrap/>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2</w:t>
            </w:r>
          </w:p>
        </w:tc>
        <w:tc>
          <w:tcPr>
            <w:tcW w:w="708" w:type="dxa"/>
            <w:tcBorders>
              <w:top w:val="nil"/>
            </w:tcBorders>
            <w:shd w:val="clear" w:color="auto" w:fill="auto"/>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2011</w:t>
            </w:r>
          </w:p>
        </w:tc>
        <w:tc>
          <w:tcPr>
            <w:tcW w:w="2126"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441.039.568.463,40</w:t>
            </w:r>
          </w:p>
        </w:tc>
        <w:tc>
          <w:tcPr>
            <w:tcW w:w="1134"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23.538,84</w:t>
            </w:r>
          </w:p>
        </w:tc>
        <w:tc>
          <w:tcPr>
            <w:tcW w:w="1134"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67.825,00</w:t>
            </w:r>
          </w:p>
        </w:tc>
        <w:tc>
          <w:tcPr>
            <w:tcW w:w="1418"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110.538,00</w:t>
            </w:r>
          </w:p>
        </w:tc>
        <w:tc>
          <w:tcPr>
            <w:tcW w:w="2127"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133.399.826.331,97</w:t>
            </w:r>
          </w:p>
        </w:tc>
      </w:tr>
      <w:tr w:rsidR="00BF5D40" w:rsidRPr="00B757C1" w:rsidTr="00A55508">
        <w:trPr>
          <w:trHeight w:val="151"/>
        </w:trPr>
        <w:tc>
          <w:tcPr>
            <w:tcW w:w="441" w:type="dxa"/>
            <w:tcBorders>
              <w:top w:val="nil"/>
            </w:tcBorders>
            <w:shd w:val="clear" w:color="auto" w:fill="auto"/>
            <w:noWrap/>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3</w:t>
            </w:r>
          </w:p>
        </w:tc>
        <w:tc>
          <w:tcPr>
            <w:tcW w:w="708" w:type="dxa"/>
            <w:tcBorders>
              <w:top w:val="nil"/>
            </w:tcBorders>
            <w:shd w:val="clear" w:color="auto" w:fill="auto"/>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2012</w:t>
            </w:r>
          </w:p>
        </w:tc>
        <w:tc>
          <w:tcPr>
            <w:tcW w:w="2126"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445.626.379.975,41</w:t>
            </w:r>
          </w:p>
        </w:tc>
        <w:tc>
          <w:tcPr>
            <w:tcW w:w="1134"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29.457,17</w:t>
            </w:r>
          </w:p>
        </w:tc>
        <w:tc>
          <w:tcPr>
            <w:tcW w:w="1134"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79.119,00</w:t>
            </w:r>
          </w:p>
        </w:tc>
        <w:tc>
          <w:tcPr>
            <w:tcW w:w="1418"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119.932,00</w:t>
            </w:r>
          </w:p>
        </w:tc>
        <w:tc>
          <w:tcPr>
            <w:tcW w:w="2127"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134.787.184.525,83</w:t>
            </w:r>
          </w:p>
        </w:tc>
      </w:tr>
      <w:tr w:rsidR="00BF5D40" w:rsidRPr="00B757C1" w:rsidTr="00A55508">
        <w:trPr>
          <w:trHeight w:val="197"/>
        </w:trPr>
        <w:tc>
          <w:tcPr>
            <w:tcW w:w="441" w:type="dxa"/>
            <w:tcBorders>
              <w:top w:val="nil"/>
            </w:tcBorders>
            <w:shd w:val="clear" w:color="auto" w:fill="auto"/>
            <w:noWrap/>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4</w:t>
            </w:r>
          </w:p>
        </w:tc>
        <w:tc>
          <w:tcPr>
            <w:tcW w:w="708" w:type="dxa"/>
            <w:tcBorders>
              <w:top w:val="nil"/>
            </w:tcBorders>
            <w:shd w:val="clear" w:color="auto" w:fill="auto"/>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2013</w:t>
            </w:r>
          </w:p>
        </w:tc>
        <w:tc>
          <w:tcPr>
            <w:tcW w:w="2126"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592.255.711.832,57</w:t>
            </w:r>
          </w:p>
        </w:tc>
        <w:tc>
          <w:tcPr>
            <w:tcW w:w="1134"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33.910,89</w:t>
            </w:r>
          </w:p>
        </w:tc>
        <w:tc>
          <w:tcPr>
            <w:tcW w:w="1134"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81.552,00</w:t>
            </w:r>
          </w:p>
        </w:tc>
        <w:tc>
          <w:tcPr>
            <w:tcW w:w="1418"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153.761,00</w:t>
            </w:r>
          </w:p>
        </w:tc>
        <w:tc>
          <w:tcPr>
            <w:tcW w:w="2127"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174.478.441.761,89</w:t>
            </w:r>
          </w:p>
        </w:tc>
      </w:tr>
      <w:tr w:rsidR="00BF5D40" w:rsidRPr="00B757C1" w:rsidTr="00A55508">
        <w:trPr>
          <w:trHeight w:val="257"/>
        </w:trPr>
        <w:tc>
          <w:tcPr>
            <w:tcW w:w="441" w:type="dxa"/>
            <w:tcBorders>
              <w:top w:val="nil"/>
            </w:tcBorders>
            <w:shd w:val="clear" w:color="auto" w:fill="auto"/>
            <w:noWrap/>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5</w:t>
            </w:r>
          </w:p>
        </w:tc>
        <w:tc>
          <w:tcPr>
            <w:tcW w:w="708" w:type="dxa"/>
            <w:tcBorders>
              <w:top w:val="nil"/>
            </w:tcBorders>
            <w:shd w:val="clear" w:color="auto" w:fill="auto"/>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2014</w:t>
            </w:r>
          </w:p>
        </w:tc>
        <w:tc>
          <w:tcPr>
            <w:tcW w:w="2126"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598.415.171.235,63</w:t>
            </w:r>
          </w:p>
        </w:tc>
        <w:tc>
          <w:tcPr>
            <w:tcW w:w="1134"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36.232,47</w:t>
            </w:r>
          </w:p>
        </w:tc>
        <w:tc>
          <w:tcPr>
            <w:tcW w:w="1134"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81.959,00</w:t>
            </w:r>
          </w:p>
        </w:tc>
        <w:tc>
          <w:tcPr>
            <w:tcW w:w="1418"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154.529,00</w:t>
            </w:r>
          </w:p>
        </w:tc>
        <w:tc>
          <w:tcPr>
            <w:tcW w:w="2127" w:type="dxa"/>
            <w:tcBorders>
              <w:top w:val="nil"/>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176.695.369.438,73</w:t>
            </w:r>
          </w:p>
        </w:tc>
      </w:tr>
      <w:tr w:rsidR="00BF5D40" w:rsidRPr="00B757C1" w:rsidTr="00A55508">
        <w:trPr>
          <w:trHeight w:val="147"/>
        </w:trPr>
        <w:tc>
          <w:tcPr>
            <w:tcW w:w="441" w:type="dxa"/>
            <w:tcBorders>
              <w:top w:val="nil"/>
              <w:bottom w:val="single" w:sz="12" w:space="0" w:color="auto"/>
            </w:tcBorders>
            <w:shd w:val="clear" w:color="auto" w:fill="auto"/>
            <w:noWrap/>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6</w:t>
            </w:r>
          </w:p>
        </w:tc>
        <w:tc>
          <w:tcPr>
            <w:tcW w:w="708" w:type="dxa"/>
            <w:tcBorders>
              <w:top w:val="nil"/>
              <w:bottom w:val="single" w:sz="12" w:space="0" w:color="auto"/>
            </w:tcBorders>
            <w:shd w:val="clear" w:color="auto" w:fill="auto"/>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2015</w:t>
            </w:r>
          </w:p>
        </w:tc>
        <w:tc>
          <w:tcPr>
            <w:tcW w:w="2126" w:type="dxa"/>
            <w:tcBorders>
              <w:top w:val="nil"/>
              <w:bottom w:val="single" w:sz="12" w:space="0" w:color="auto"/>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2.461.414.337.254,00</w:t>
            </w:r>
          </w:p>
        </w:tc>
        <w:tc>
          <w:tcPr>
            <w:tcW w:w="1134" w:type="dxa"/>
            <w:tcBorders>
              <w:top w:val="nil"/>
              <w:bottom w:val="single" w:sz="12" w:space="0" w:color="auto"/>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39.299,37</w:t>
            </w:r>
          </w:p>
        </w:tc>
        <w:tc>
          <w:tcPr>
            <w:tcW w:w="1134" w:type="dxa"/>
            <w:tcBorders>
              <w:top w:val="nil"/>
              <w:bottom w:val="single" w:sz="12" w:space="0" w:color="auto"/>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81.979,00</w:t>
            </w:r>
          </w:p>
        </w:tc>
        <w:tc>
          <w:tcPr>
            <w:tcW w:w="1418" w:type="dxa"/>
            <w:tcBorders>
              <w:top w:val="nil"/>
              <w:bottom w:val="single" w:sz="12" w:space="0" w:color="auto"/>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168.288,00</w:t>
            </w:r>
          </w:p>
        </w:tc>
        <w:tc>
          <w:tcPr>
            <w:tcW w:w="2127" w:type="dxa"/>
            <w:tcBorders>
              <w:top w:val="nil"/>
              <w:bottom w:val="single" w:sz="12" w:space="0" w:color="auto"/>
            </w:tcBorders>
            <w:shd w:val="clear" w:color="auto" w:fill="auto"/>
            <w:hideMark/>
          </w:tcPr>
          <w:p w:rsidR="00BF5D40" w:rsidRPr="00B757C1" w:rsidRDefault="00BF5D40" w:rsidP="00A55508">
            <w:pPr>
              <w:spacing w:after="0"/>
              <w:jc w:val="right"/>
              <w:rPr>
                <w:rFonts w:ascii="Palatino Linotype" w:hAnsi="Palatino Linotype"/>
                <w:sz w:val="20"/>
                <w:szCs w:val="20"/>
              </w:rPr>
            </w:pPr>
            <w:r w:rsidRPr="00B757C1">
              <w:rPr>
                <w:rFonts w:ascii="Palatino Linotype" w:hAnsi="Palatino Linotype"/>
                <w:sz w:val="20"/>
                <w:szCs w:val="20"/>
              </w:rPr>
              <w:t>1.397.682.458.584,00</w:t>
            </w:r>
          </w:p>
        </w:tc>
      </w:tr>
      <w:tr w:rsidR="00BF5D40" w:rsidRPr="00B757C1" w:rsidTr="00A55508">
        <w:trPr>
          <w:trHeight w:val="315"/>
        </w:trPr>
        <w:tc>
          <w:tcPr>
            <w:tcW w:w="9088" w:type="dxa"/>
            <w:gridSpan w:val="7"/>
            <w:tcBorders>
              <w:top w:val="nil"/>
              <w:left w:val="nil"/>
              <w:bottom w:val="nil"/>
              <w:right w:val="nil"/>
            </w:tcBorders>
            <w:shd w:val="clear" w:color="auto" w:fill="auto"/>
            <w:noWrap/>
            <w:vAlign w:val="bottom"/>
            <w:hideMark/>
          </w:tcPr>
          <w:p w:rsidR="00BF5D40" w:rsidRPr="00B757C1" w:rsidRDefault="00BF5D40" w:rsidP="00A55508">
            <w:pPr>
              <w:spacing w:after="0"/>
              <w:rPr>
                <w:rFonts w:ascii="Palatino Linotype" w:hAnsi="Palatino Linotype"/>
                <w:sz w:val="20"/>
                <w:szCs w:val="20"/>
              </w:rPr>
            </w:pPr>
            <w:r w:rsidRPr="00B757C1">
              <w:rPr>
                <w:rFonts w:ascii="Palatino Linotype" w:hAnsi="Palatino Linotype"/>
                <w:sz w:val="20"/>
                <w:szCs w:val="20"/>
              </w:rPr>
              <w:t>Source: Dinas Koperasi dan UKM Provinsi Jambi, 2017</w:t>
            </w:r>
          </w:p>
          <w:p w:rsidR="00BF5D40" w:rsidRPr="00B757C1" w:rsidRDefault="00BF5D40" w:rsidP="00A55508">
            <w:pPr>
              <w:spacing w:after="0"/>
              <w:rPr>
                <w:rFonts w:ascii="Palatino Linotype" w:hAnsi="Palatino Linotype"/>
                <w:b/>
                <w:bCs/>
                <w:color w:val="000000"/>
                <w:sz w:val="20"/>
                <w:szCs w:val="20"/>
              </w:rPr>
            </w:pPr>
          </w:p>
          <w:p w:rsidR="00BF5D40" w:rsidRPr="00B757C1" w:rsidRDefault="00BF5D40" w:rsidP="00A55508">
            <w:pPr>
              <w:spacing w:after="0"/>
              <w:rPr>
                <w:rFonts w:ascii="Palatino Linotype" w:hAnsi="Palatino Linotype"/>
                <w:b/>
                <w:bCs/>
                <w:color w:val="000000"/>
                <w:sz w:val="20"/>
                <w:szCs w:val="20"/>
              </w:rPr>
            </w:pPr>
            <w:r w:rsidRPr="00B757C1">
              <w:rPr>
                <w:rFonts w:ascii="Palatino Linotype" w:hAnsi="Palatino Linotype"/>
                <w:b/>
                <w:bCs/>
                <w:color w:val="000000"/>
                <w:sz w:val="20"/>
                <w:szCs w:val="20"/>
              </w:rPr>
              <w:t>Tabel 2. MSMEs Growth during 2010 – 2015 in Jambi Province</w:t>
            </w:r>
          </w:p>
        </w:tc>
      </w:tr>
      <w:tr w:rsidR="00BF5D40" w:rsidRPr="00B757C1" w:rsidTr="00A55508">
        <w:trPr>
          <w:trHeight w:val="315"/>
        </w:trPr>
        <w:tc>
          <w:tcPr>
            <w:tcW w:w="441"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rPr>
                <w:rFonts w:ascii="Palatino Linotype" w:hAnsi="Palatino Linotype"/>
                <w:color w:val="000000"/>
                <w:sz w:val="20"/>
                <w:szCs w:val="20"/>
              </w:rPr>
            </w:pPr>
          </w:p>
        </w:tc>
        <w:tc>
          <w:tcPr>
            <w:tcW w:w="708"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rPr>
                <w:rFonts w:ascii="Palatino Linotype" w:hAnsi="Palatino Linotype"/>
                <w:color w:val="000000"/>
                <w:sz w:val="20"/>
                <w:szCs w:val="20"/>
              </w:rPr>
            </w:pPr>
          </w:p>
        </w:tc>
        <w:tc>
          <w:tcPr>
            <w:tcW w:w="2126"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line="240" w:lineRule="auto"/>
              <w:rPr>
                <w:rFonts w:ascii="Palatino Linotype" w:hAnsi="Palatino Linotype"/>
                <w:color w:val="000000"/>
                <w:sz w:val="20"/>
                <w:szCs w:val="20"/>
              </w:rPr>
            </w:pPr>
          </w:p>
        </w:tc>
        <w:tc>
          <w:tcPr>
            <w:tcW w:w="1134"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rPr>
                <w:rFonts w:ascii="Palatino Linotype" w:hAnsi="Palatino Linotype"/>
                <w:color w:val="000000"/>
                <w:sz w:val="20"/>
                <w:szCs w:val="20"/>
              </w:rPr>
            </w:pPr>
          </w:p>
        </w:tc>
        <w:tc>
          <w:tcPr>
            <w:tcW w:w="1134"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rPr>
                <w:rFonts w:ascii="Palatino Linotype" w:hAnsi="Palatino Linotype"/>
                <w:color w:val="000000"/>
                <w:sz w:val="20"/>
                <w:szCs w:val="20"/>
              </w:rPr>
            </w:pPr>
          </w:p>
        </w:tc>
        <w:tc>
          <w:tcPr>
            <w:tcW w:w="1418"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rPr>
                <w:rFonts w:ascii="Palatino Linotype" w:hAnsi="Palatino Linotype"/>
                <w:color w:val="000000"/>
                <w:sz w:val="20"/>
                <w:szCs w:val="20"/>
              </w:rPr>
            </w:pPr>
          </w:p>
        </w:tc>
        <w:tc>
          <w:tcPr>
            <w:tcW w:w="2127" w:type="dxa"/>
            <w:tcBorders>
              <w:top w:val="nil"/>
              <w:left w:val="nil"/>
              <w:bottom w:val="single" w:sz="12" w:space="0" w:color="auto"/>
              <w:right w:val="nil"/>
            </w:tcBorders>
            <w:shd w:val="clear" w:color="auto" w:fill="auto"/>
            <w:noWrap/>
            <w:vAlign w:val="bottom"/>
            <w:hideMark/>
          </w:tcPr>
          <w:p w:rsidR="00BF5D40" w:rsidRPr="00B757C1" w:rsidRDefault="00BF5D40" w:rsidP="00A55508">
            <w:pPr>
              <w:spacing w:after="0"/>
              <w:rPr>
                <w:rFonts w:ascii="Palatino Linotype" w:hAnsi="Palatino Linotype"/>
                <w:color w:val="000000"/>
                <w:sz w:val="20"/>
                <w:szCs w:val="20"/>
              </w:rPr>
            </w:pPr>
          </w:p>
        </w:tc>
      </w:tr>
      <w:tr w:rsidR="00BF5D40" w:rsidRPr="00B757C1" w:rsidTr="00A55508">
        <w:trPr>
          <w:trHeight w:val="700"/>
        </w:trPr>
        <w:tc>
          <w:tcPr>
            <w:tcW w:w="441" w:type="dxa"/>
            <w:tcBorders>
              <w:top w:val="single" w:sz="12" w:space="0" w:color="auto"/>
              <w:bottom w:val="single" w:sz="12" w:space="0" w:color="auto"/>
            </w:tcBorders>
            <w:shd w:val="clear" w:color="auto" w:fill="auto"/>
            <w:noWrap/>
            <w:vAlign w:val="center"/>
            <w:hideMark/>
          </w:tcPr>
          <w:p w:rsidR="00BF5D40" w:rsidRPr="00B757C1" w:rsidRDefault="00BF5D40" w:rsidP="00A55508">
            <w:pPr>
              <w:spacing w:after="0"/>
              <w:ind w:left="-93" w:right="-108"/>
              <w:jc w:val="center"/>
              <w:rPr>
                <w:rFonts w:ascii="Palatino Linotype" w:hAnsi="Palatino Linotype"/>
                <w:b/>
                <w:bCs/>
                <w:color w:val="000000"/>
                <w:sz w:val="18"/>
                <w:szCs w:val="18"/>
              </w:rPr>
            </w:pPr>
            <w:r w:rsidRPr="00B757C1">
              <w:rPr>
                <w:rFonts w:ascii="Palatino Linotype" w:hAnsi="Palatino Linotype"/>
                <w:b/>
                <w:bCs/>
                <w:color w:val="000000"/>
                <w:sz w:val="18"/>
                <w:szCs w:val="18"/>
              </w:rPr>
              <w:t>NO.</w:t>
            </w:r>
          </w:p>
        </w:tc>
        <w:tc>
          <w:tcPr>
            <w:tcW w:w="708" w:type="dxa"/>
            <w:tcBorders>
              <w:top w:val="single" w:sz="12" w:space="0" w:color="auto"/>
              <w:bottom w:val="single" w:sz="12" w:space="0" w:color="auto"/>
            </w:tcBorders>
            <w:shd w:val="clear" w:color="auto" w:fill="auto"/>
            <w:vAlign w:val="center"/>
            <w:hideMark/>
          </w:tcPr>
          <w:p w:rsidR="00BF5D40" w:rsidRPr="00B757C1" w:rsidRDefault="00BF5D40" w:rsidP="00A55508">
            <w:pPr>
              <w:spacing w:after="0"/>
              <w:ind w:left="-108" w:right="-108"/>
              <w:jc w:val="center"/>
              <w:rPr>
                <w:rFonts w:ascii="Palatino Linotype" w:hAnsi="Palatino Linotype"/>
                <w:b/>
                <w:bCs/>
                <w:color w:val="000000"/>
                <w:sz w:val="18"/>
                <w:szCs w:val="18"/>
              </w:rPr>
            </w:pPr>
            <w:r w:rsidRPr="00B757C1">
              <w:rPr>
                <w:rFonts w:ascii="Palatino Linotype" w:hAnsi="Palatino Linotype"/>
                <w:b/>
                <w:bCs/>
                <w:color w:val="000000"/>
                <w:sz w:val="18"/>
                <w:szCs w:val="18"/>
              </w:rPr>
              <w:t>YEAR</w:t>
            </w:r>
          </w:p>
        </w:tc>
        <w:tc>
          <w:tcPr>
            <w:tcW w:w="2126" w:type="dxa"/>
            <w:tcBorders>
              <w:top w:val="single" w:sz="12" w:space="0" w:color="auto"/>
              <w:bottom w:val="single" w:sz="12" w:space="0" w:color="auto"/>
            </w:tcBorders>
            <w:shd w:val="clear" w:color="auto" w:fill="auto"/>
            <w:vAlign w:val="center"/>
            <w:hideMark/>
          </w:tcPr>
          <w:p w:rsidR="00BF5D40" w:rsidRPr="00B757C1" w:rsidRDefault="00BF5D40" w:rsidP="00A55508">
            <w:pPr>
              <w:spacing w:after="0"/>
              <w:ind w:left="-285" w:firstLine="285"/>
              <w:jc w:val="center"/>
              <w:rPr>
                <w:rFonts w:ascii="Palatino Linotype" w:hAnsi="Palatino Linotype"/>
                <w:b/>
                <w:bCs/>
                <w:color w:val="000000"/>
                <w:sz w:val="18"/>
                <w:szCs w:val="18"/>
              </w:rPr>
            </w:pPr>
            <w:r w:rsidRPr="00B757C1">
              <w:rPr>
                <w:rFonts w:ascii="Palatino Linotype" w:hAnsi="Palatino Linotype"/>
                <w:b/>
                <w:bCs/>
                <w:color w:val="000000"/>
                <w:sz w:val="18"/>
                <w:szCs w:val="18"/>
              </w:rPr>
              <w:t>GRDP MSMEs</w:t>
            </w:r>
          </w:p>
        </w:tc>
        <w:tc>
          <w:tcPr>
            <w:tcW w:w="1134" w:type="dxa"/>
            <w:tcBorders>
              <w:top w:val="single" w:sz="12" w:space="0" w:color="auto"/>
              <w:bottom w:val="single" w:sz="12" w:space="0" w:color="auto"/>
            </w:tcBorders>
            <w:shd w:val="clear" w:color="auto" w:fill="auto"/>
            <w:vAlign w:val="center"/>
            <w:hideMark/>
          </w:tcPr>
          <w:p w:rsidR="00BF5D40" w:rsidRPr="00B757C1" w:rsidRDefault="00BF5D40" w:rsidP="00A55508">
            <w:pPr>
              <w:spacing w:after="0"/>
              <w:jc w:val="center"/>
              <w:rPr>
                <w:rFonts w:ascii="Palatino Linotype" w:hAnsi="Palatino Linotype"/>
                <w:b/>
                <w:bCs/>
                <w:color w:val="000000"/>
                <w:sz w:val="18"/>
                <w:szCs w:val="18"/>
              </w:rPr>
            </w:pPr>
            <w:r w:rsidRPr="00B757C1">
              <w:rPr>
                <w:rFonts w:ascii="Palatino Linotype" w:hAnsi="Palatino Linotype"/>
                <w:b/>
                <w:bCs/>
                <w:color w:val="000000"/>
                <w:sz w:val="18"/>
                <w:szCs w:val="18"/>
              </w:rPr>
              <w:t>CREDIT MSMEs</w:t>
            </w:r>
          </w:p>
        </w:tc>
        <w:tc>
          <w:tcPr>
            <w:tcW w:w="1134" w:type="dxa"/>
            <w:tcBorders>
              <w:top w:val="single" w:sz="12" w:space="0" w:color="auto"/>
              <w:bottom w:val="single" w:sz="12" w:space="0" w:color="auto"/>
            </w:tcBorders>
            <w:shd w:val="clear" w:color="auto" w:fill="auto"/>
            <w:vAlign w:val="center"/>
            <w:hideMark/>
          </w:tcPr>
          <w:p w:rsidR="00BF5D40" w:rsidRPr="00B757C1" w:rsidRDefault="00BF5D40" w:rsidP="00A55508">
            <w:pPr>
              <w:spacing w:after="0"/>
              <w:jc w:val="center"/>
              <w:rPr>
                <w:rFonts w:ascii="Palatino Linotype" w:hAnsi="Palatino Linotype"/>
                <w:b/>
                <w:bCs/>
                <w:color w:val="000000"/>
                <w:sz w:val="18"/>
                <w:szCs w:val="18"/>
              </w:rPr>
            </w:pPr>
            <w:r w:rsidRPr="00B757C1">
              <w:rPr>
                <w:rFonts w:ascii="Palatino Linotype" w:hAnsi="Palatino Linotype"/>
                <w:b/>
                <w:bCs/>
                <w:color w:val="000000"/>
                <w:sz w:val="18"/>
                <w:szCs w:val="18"/>
              </w:rPr>
              <w:t>Number of MSMEs</w:t>
            </w:r>
          </w:p>
        </w:tc>
        <w:tc>
          <w:tcPr>
            <w:tcW w:w="1418" w:type="dxa"/>
            <w:tcBorders>
              <w:top w:val="single" w:sz="12" w:space="0" w:color="auto"/>
              <w:bottom w:val="single" w:sz="12" w:space="0" w:color="auto"/>
            </w:tcBorders>
            <w:shd w:val="clear" w:color="auto" w:fill="auto"/>
            <w:vAlign w:val="center"/>
            <w:hideMark/>
          </w:tcPr>
          <w:p w:rsidR="00BF5D40" w:rsidRPr="00B757C1" w:rsidRDefault="00BF5D40" w:rsidP="00A55508">
            <w:pPr>
              <w:spacing w:after="0"/>
              <w:ind w:left="-108" w:right="-108"/>
              <w:jc w:val="center"/>
              <w:rPr>
                <w:rFonts w:ascii="Palatino Linotype" w:hAnsi="Palatino Linotype"/>
                <w:b/>
                <w:bCs/>
                <w:color w:val="000000"/>
                <w:sz w:val="18"/>
                <w:szCs w:val="18"/>
              </w:rPr>
            </w:pPr>
            <w:r w:rsidRPr="00B757C1">
              <w:rPr>
                <w:rFonts w:ascii="Palatino Linotype" w:hAnsi="Palatino Linotype"/>
                <w:b/>
                <w:bCs/>
                <w:color w:val="000000"/>
                <w:sz w:val="18"/>
                <w:szCs w:val="18"/>
              </w:rPr>
              <w:t>MSMEs Employnment</w:t>
            </w:r>
          </w:p>
        </w:tc>
        <w:tc>
          <w:tcPr>
            <w:tcW w:w="2127" w:type="dxa"/>
            <w:tcBorders>
              <w:top w:val="single" w:sz="12" w:space="0" w:color="auto"/>
              <w:bottom w:val="single" w:sz="12" w:space="0" w:color="auto"/>
            </w:tcBorders>
            <w:shd w:val="clear" w:color="auto" w:fill="auto"/>
            <w:vAlign w:val="center"/>
            <w:hideMark/>
          </w:tcPr>
          <w:p w:rsidR="00BF5D40" w:rsidRPr="00B757C1" w:rsidRDefault="00BF5D40" w:rsidP="00A55508">
            <w:pPr>
              <w:spacing w:after="0"/>
              <w:jc w:val="center"/>
              <w:rPr>
                <w:rFonts w:ascii="Palatino Linotype" w:hAnsi="Palatino Linotype"/>
                <w:b/>
                <w:bCs/>
                <w:color w:val="000000"/>
                <w:sz w:val="18"/>
                <w:szCs w:val="18"/>
              </w:rPr>
            </w:pPr>
            <w:r w:rsidRPr="00B757C1">
              <w:rPr>
                <w:rFonts w:ascii="Palatino Linotype" w:hAnsi="Palatino Linotype"/>
                <w:b/>
                <w:bCs/>
                <w:color w:val="000000"/>
                <w:sz w:val="18"/>
                <w:szCs w:val="18"/>
              </w:rPr>
              <w:t>MSMEs ASSET</w:t>
            </w:r>
          </w:p>
        </w:tc>
      </w:tr>
      <w:tr w:rsidR="00BF5D40" w:rsidRPr="00B757C1" w:rsidTr="00A55508">
        <w:trPr>
          <w:trHeight w:val="159"/>
        </w:trPr>
        <w:tc>
          <w:tcPr>
            <w:tcW w:w="441" w:type="dxa"/>
            <w:tcBorders>
              <w:top w:val="single" w:sz="12" w:space="0" w:color="auto"/>
            </w:tcBorders>
            <w:shd w:val="clear" w:color="auto" w:fill="auto"/>
            <w:noWrap/>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1</w:t>
            </w:r>
          </w:p>
        </w:tc>
        <w:tc>
          <w:tcPr>
            <w:tcW w:w="708" w:type="dxa"/>
            <w:tcBorders>
              <w:top w:val="single" w:sz="12" w:space="0" w:color="auto"/>
            </w:tcBorders>
            <w:shd w:val="clear" w:color="auto" w:fill="auto"/>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2011</w:t>
            </w:r>
          </w:p>
        </w:tc>
        <w:tc>
          <w:tcPr>
            <w:tcW w:w="2126" w:type="dxa"/>
            <w:tcBorders>
              <w:top w:val="single" w:sz="12" w:space="0" w:color="auto"/>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1,04</w:t>
            </w:r>
          </w:p>
        </w:tc>
        <w:tc>
          <w:tcPr>
            <w:tcW w:w="1134" w:type="dxa"/>
            <w:tcBorders>
              <w:top w:val="single" w:sz="12" w:space="0" w:color="auto"/>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-39,36</w:t>
            </w:r>
          </w:p>
        </w:tc>
        <w:tc>
          <w:tcPr>
            <w:tcW w:w="1134" w:type="dxa"/>
            <w:tcBorders>
              <w:top w:val="single" w:sz="12" w:space="0" w:color="auto"/>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3,96</w:t>
            </w:r>
          </w:p>
        </w:tc>
        <w:tc>
          <w:tcPr>
            <w:tcW w:w="1418" w:type="dxa"/>
            <w:tcBorders>
              <w:top w:val="single" w:sz="12" w:space="0" w:color="auto"/>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6,24</w:t>
            </w:r>
          </w:p>
        </w:tc>
        <w:tc>
          <w:tcPr>
            <w:tcW w:w="2127" w:type="dxa"/>
            <w:tcBorders>
              <w:top w:val="single" w:sz="12" w:space="0" w:color="auto"/>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1,04</w:t>
            </w:r>
          </w:p>
        </w:tc>
      </w:tr>
      <w:tr w:rsidR="00BF5D40" w:rsidRPr="00B757C1" w:rsidTr="00A55508">
        <w:trPr>
          <w:trHeight w:val="207"/>
        </w:trPr>
        <w:tc>
          <w:tcPr>
            <w:tcW w:w="441" w:type="dxa"/>
            <w:tcBorders>
              <w:top w:val="nil"/>
            </w:tcBorders>
            <w:shd w:val="clear" w:color="auto" w:fill="auto"/>
            <w:noWrap/>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2</w:t>
            </w:r>
          </w:p>
        </w:tc>
        <w:tc>
          <w:tcPr>
            <w:tcW w:w="708" w:type="dxa"/>
            <w:tcBorders>
              <w:top w:val="nil"/>
            </w:tcBorders>
            <w:shd w:val="clear" w:color="auto" w:fill="auto"/>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2012</w:t>
            </w:r>
          </w:p>
        </w:tc>
        <w:tc>
          <w:tcPr>
            <w:tcW w:w="2126"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1,04</w:t>
            </w:r>
          </w:p>
        </w:tc>
        <w:tc>
          <w:tcPr>
            <w:tcW w:w="1134"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25,14</w:t>
            </w:r>
          </w:p>
        </w:tc>
        <w:tc>
          <w:tcPr>
            <w:tcW w:w="1134"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16,65</w:t>
            </w:r>
          </w:p>
        </w:tc>
        <w:tc>
          <w:tcPr>
            <w:tcW w:w="1418"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8,50</w:t>
            </w:r>
          </w:p>
        </w:tc>
        <w:tc>
          <w:tcPr>
            <w:tcW w:w="2127"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1,04</w:t>
            </w:r>
          </w:p>
        </w:tc>
      </w:tr>
      <w:tr w:rsidR="00BF5D40" w:rsidRPr="00B757C1" w:rsidTr="00A55508">
        <w:trPr>
          <w:trHeight w:val="267"/>
        </w:trPr>
        <w:tc>
          <w:tcPr>
            <w:tcW w:w="441" w:type="dxa"/>
            <w:tcBorders>
              <w:top w:val="nil"/>
            </w:tcBorders>
            <w:shd w:val="clear" w:color="auto" w:fill="auto"/>
            <w:noWrap/>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3</w:t>
            </w:r>
          </w:p>
        </w:tc>
        <w:tc>
          <w:tcPr>
            <w:tcW w:w="708" w:type="dxa"/>
            <w:tcBorders>
              <w:top w:val="nil"/>
            </w:tcBorders>
            <w:shd w:val="clear" w:color="auto" w:fill="auto"/>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2013</w:t>
            </w:r>
          </w:p>
        </w:tc>
        <w:tc>
          <w:tcPr>
            <w:tcW w:w="2126"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32,90</w:t>
            </w:r>
          </w:p>
        </w:tc>
        <w:tc>
          <w:tcPr>
            <w:tcW w:w="1134"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15,12</w:t>
            </w:r>
          </w:p>
        </w:tc>
        <w:tc>
          <w:tcPr>
            <w:tcW w:w="1134"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3,08</w:t>
            </w:r>
          </w:p>
        </w:tc>
        <w:tc>
          <w:tcPr>
            <w:tcW w:w="1418"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28,21</w:t>
            </w:r>
          </w:p>
        </w:tc>
        <w:tc>
          <w:tcPr>
            <w:tcW w:w="2127"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29,45</w:t>
            </w:r>
          </w:p>
        </w:tc>
      </w:tr>
      <w:tr w:rsidR="00BF5D40" w:rsidRPr="00B757C1" w:rsidTr="00A55508">
        <w:trPr>
          <w:trHeight w:val="271"/>
        </w:trPr>
        <w:tc>
          <w:tcPr>
            <w:tcW w:w="441" w:type="dxa"/>
            <w:tcBorders>
              <w:top w:val="nil"/>
            </w:tcBorders>
            <w:shd w:val="clear" w:color="auto" w:fill="auto"/>
            <w:noWrap/>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4</w:t>
            </w:r>
          </w:p>
        </w:tc>
        <w:tc>
          <w:tcPr>
            <w:tcW w:w="708" w:type="dxa"/>
            <w:tcBorders>
              <w:top w:val="nil"/>
            </w:tcBorders>
            <w:shd w:val="clear" w:color="auto" w:fill="auto"/>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2014</w:t>
            </w:r>
          </w:p>
        </w:tc>
        <w:tc>
          <w:tcPr>
            <w:tcW w:w="2126"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1,04</w:t>
            </w:r>
          </w:p>
        </w:tc>
        <w:tc>
          <w:tcPr>
            <w:tcW w:w="1134"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6,85</w:t>
            </w:r>
          </w:p>
        </w:tc>
        <w:tc>
          <w:tcPr>
            <w:tcW w:w="1134"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0,50</w:t>
            </w:r>
          </w:p>
        </w:tc>
        <w:tc>
          <w:tcPr>
            <w:tcW w:w="1418"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0,50</w:t>
            </w:r>
          </w:p>
        </w:tc>
        <w:tc>
          <w:tcPr>
            <w:tcW w:w="2127"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1,27</w:t>
            </w:r>
          </w:p>
        </w:tc>
      </w:tr>
      <w:tr w:rsidR="00BF5D40" w:rsidRPr="00B757C1" w:rsidTr="00A55508">
        <w:trPr>
          <w:trHeight w:val="147"/>
        </w:trPr>
        <w:tc>
          <w:tcPr>
            <w:tcW w:w="441" w:type="dxa"/>
            <w:tcBorders>
              <w:top w:val="nil"/>
            </w:tcBorders>
            <w:shd w:val="clear" w:color="auto" w:fill="auto"/>
            <w:noWrap/>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5</w:t>
            </w:r>
          </w:p>
        </w:tc>
        <w:tc>
          <w:tcPr>
            <w:tcW w:w="708" w:type="dxa"/>
            <w:tcBorders>
              <w:top w:val="nil"/>
            </w:tcBorders>
            <w:shd w:val="clear" w:color="auto" w:fill="auto"/>
            <w:hideMark/>
          </w:tcPr>
          <w:p w:rsidR="00BF5D40" w:rsidRPr="00B757C1" w:rsidRDefault="00BF5D40" w:rsidP="00A55508">
            <w:pPr>
              <w:spacing w:after="0"/>
              <w:jc w:val="center"/>
              <w:rPr>
                <w:rFonts w:ascii="Palatino Linotype" w:hAnsi="Palatino Linotype"/>
                <w:color w:val="000000"/>
                <w:sz w:val="20"/>
                <w:szCs w:val="20"/>
              </w:rPr>
            </w:pPr>
            <w:r w:rsidRPr="00B757C1">
              <w:rPr>
                <w:rFonts w:ascii="Palatino Linotype" w:hAnsi="Palatino Linotype"/>
                <w:color w:val="000000"/>
                <w:sz w:val="20"/>
                <w:szCs w:val="20"/>
              </w:rPr>
              <w:t>2015</w:t>
            </w:r>
          </w:p>
        </w:tc>
        <w:tc>
          <w:tcPr>
            <w:tcW w:w="2126"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311,32</w:t>
            </w:r>
          </w:p>
        </w:tc>
        <w:tc>
          <w:tcPr>
            <w:tcW w:w="1134"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8,46</w:t>
            </w:r>
          </w:p>
        </w:tc>
        <w:tc>
          <w:tcPr>
            <w:tcW w:w="1134"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0,02</w:t>
            </w:r>
          </w:p>
        </w:tc>
        <w:tc>
          <w:tcPr>
            <w:tcW w:w="1418"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8,90</w:t>
            </w:r>
          </w:p>
        </w:tc>
        <w:tc>
          <w:tcPr>
            <w:tcW w:w="2127" w:type="dxa"/>
            <w:tcBorders>
              <w:top w:val="nil"/>
            </w:tcBorders>
            <w:shd w:val="clear" w:color="auto" w:fill="auto"/>
            <w:noWrap/>
            <w:vAlign w:val="bottom"/>
            <w:hideMark/>
          </w:tcPr>
          <w:p w:rsidR="00BF5D40" w:rsidRPr="00B757C1" w:rsidRDefault="00BF5D40" w:rsidP="00A55508">
            <w:pPr>
              <w:spacing w:after="0"/>
              <w:jc w:val="right"/>
              <w:rPr>
                <w:rFonts w:ascii="Palatino Linotype" w:hAnsi="Palatino Linotype"/>
                <w:color w:val="000000"/>
                <w:sz w:val="20"/>
                <w:szCs w:val="20"/>
              </w:rPr>
            </w:pPr>
            <w:r w:rsidRPr="00B757C1">
              <w:rPr>
                <w:rFonts w:ascii="Palatino Linotype" w:hAnsi="Palatino Linotype"/>
                <w:color w:val="000000"/>
                <w:sz w:val="20"/>
                <w:szCs w:val="20"/>
              </w:rPr>
              <w:t>691,01</w:t>
            </w:r>
          </w:p>
        </w:tc>
      </w:tr>
      <w:tr w:rsidR="00BF5D40" w:rsidRPr="00B757C1" w:rsidTr="00A55508">
        <w:trPr>
          <w:trHeight w:val="207"/>
        </w:trPr>
        <w:tc>
          <w:tcPr>
            <w:tcW w:w="1149" w:type="dxa"/>
            <w:gridSpan w:val="2"/>
            <w:tcBorders>
              <w:bottom w:val="single" w:sz="12" w:space="0" w:color="auto"/>
            </w:tcBorders>
            <w:shd w:val="clear" w:color="auto" w:fill="auto"/>
            <w:noWrap/>
            <w:vAlign w:val="bottom"/>
            <w:hideMark/>
          </w:tcPr>
          <w:p w:rsidR="00BF5D40" w:rsidRPr="00B757C1" w:rsidRDefault="00BF5D40" w:rsidP="00A55508">
            <w:pPr>
              <w:spacing w:after="0"/>
              <w:jc w:val="center"/>
              <w:rPr>
                <w:rFonts w:ascii="Palatino Linotype" w:hAnsi="Palatino Linotype"/>
                <w:b/>
                <w:bCs/>
                <w:color w:val="000000"/>
                <w:sz w:val="20"/>
                <w:szCs w:val="20"/>
              </w:rPr>
            </w:pPr>
            <w:r w:rsidRPr="00B757C1">
              <w:rPr>
                <w:rFonts w:ascii="Palatino Linotype" w:hAnsi="Palatino Linotype"/>
                <w:b/>
                <w:bCs/>
                <w:color w:val="000000"/>
                <w:sz w:val="20"/>
                <w:szCs w:val="20"/>
              </w:rPr>
              <w:t>Rata-rata</w:t>
            </w:r>
          </w:p>
        </w:tc>
        <w:tc>
          <w:tcPr>
            <w:tcW w:w="2126" w:type="dxa"/>
            <w:tcBorders>
              <w:bottom w:val="single" w:sz="12" w:space="0" w:color="auto"/>
            </w:tcBorders>
            <w:shd w:val="clear" w:color="auto" w:fill="auto"/>
            <w:noWrap/>
            <w:vAlign w:val="bottom"/>
            <w:hideMark/>
          </w:tcPr>
          <w:p w:rsidR="00BF5D40" w:rsidRPr="00B757C1" w:rsidRDefault="00BF5D40" w:rsidP="00A55508">
            <w:pPr>
              <w:spacing w:after="0"/>
              <w:jc w:val="right"/>
              <w:rPr>
                <w:rFonts w:ascii="Palatino Linotype" w:hAnsi="Palatino Linotype"/>
                <w:b/>
                <w:bCs/>
                <w:color w:val="000000"/>
                <w:sz w:val="20"/>
                <w:szCs w:val="20"/>
              </w:rPr>
            </w:pPr>
            <w:r w:rsidRPr="00B757C1">
              <w:rPr>
                <w:rFonts w:ascii="Palatino Linotype" w:hAnsi="Palatino Linotype"/>
                <w:b/>
                <w:bCs/>
                <w:color w:val="000000"/>
                <w:sz w:val="20"/>
                <w:szCs w:val="20"/>
              </w:rPr>
              <w:t>69,47</w:t>
            </w:r>
          </w:p>
        </w:tc>
        <w:tc>
          <w:tcPr>
            <w:tcW w:w="1134" w:type="dxa"/>
            <w:tcBorders>
              <w:bottom w:val="single" w:sz="12" w:space="0" w:color="auto"/>
            </w:tcBorders>
            <w:shd w:val="clear" w:color="auto" w:fill="auto"/>
            <w:noWrap/>
            <w:vAlign w:val="bottom"/>
            <w:hideMark/>
          </w:tcPr>
          <w:p w:rsidR="00BF5D40" w:rsidRPr="00B757C1" w:rsidRDefault="00BF5D40" w:rsidP="00A55508">
            <w:pPr>
              <w:spacing w:after="0"/>
              <w:jc w:val="right"/>
              <w:rPr>
                <w:rFonts w:ascii="Palatino Linotype" w:hAnsi="Palatino Linotype"/>
                <w:b/>
                <w:bCs/>
                <w:color w:val="000000"/>
                <w:sz w:val="20"/>
                <w:szCs w:val="20"/>
              </w:rPr>
            </w:pPr>
            <w:r w:rsidRPr="00B757C1">
              <w:rPr>
                <w:rFonts w:ascii="Palatino Linotype" w:hAnsi="Palatino Linotype"/>
                <w:b/>
                <w:bCs/>
                <w:color w:val="000000"/>
                <w:sz w:val="20"/>
                <w:szCs w:val="20"/>
              </w:rPr>
              <w:t>3,24</w:t>
            </w:r>
          </w:p>
        </w:tc>
        <w:tc>
          <w:tcPr>
            <w:tcW w:w="1134" w:type="dxa"/>
            <w:tcBorders>
              <w:bottom w:val="single" w:sz="12" w:space="0" w:color="auto"/>
            </w:tcBorders>
            <w:shd w:val="clear" w:color="auto" w:fill="auto"/>
            <w:noWrap/>
            <w:vAlign w:val="bottom"/>
            <w:hideMark/>
          </w:tcPr>
          <w:p w:rsidR="00BF5D40" w:rsidRPr="00B757C1" w:rsidRDefault="00BF5D40" w:rsidP="00A55508">
            <w:pPr>
              <w:spacing w:after="0"/>
              <w:jc w:val="right"/>
              <w:rPr>
                <w:rFonts w:ascii="Palatino Linotype" w:hAnsi="Palatino Linotype"/>
                <w:b/>
                <w:bCs/>
                <w:color w:val="000000"/>
                <w:sz w:val="20"/>
                <w:szCs w:val="20"/>
              </w:rPr>
            </w:pPr>
            <w:r w:rsidRPr="00B757C1">
              <w:rPr>
                <w:rFonts w:ascii="Palatino Linotype" w:hAnsi="Palatino Linotype"/>
                <w:b/>
                <w:bCs/>
                <w:color w:val="000000"/>
                <w:sz w:val="20"/>
                <w:szCs w:val="20"/>
              </w:rPr>
              <w:t>4,84</w:t>
            </w:r>
          </w:p>
        </w:tc>
        <w:tc>
          <w:tcPr>
            <w:tcW w:w="1418" w:type="dxa"/>
            <w:tcBorders>
              <w:bottom w:val="single" w:sz="12" w:space="0" w:color="auto"/>
            </w:tcBorders>
            <w:shd w:val="clear" w:color="auto" w:fill="auto"/>
            <w:noWrap/>
            <w:vAlign w:val="bottom"/>
            <w:hideMark/>
          </w:tcPr>
          <w:p w:rsidR="00BF5D40" w:rsidRPr="00B757C1" w:rsidRDefault="00BF5D40" w:rsidP="00A55508">
            <w:pPr>
              <w:spacing w:after="0"/>
              <w:jc w:val="right"/>
              <w:rPr>
                <w:rFonts w:ascii="Palatino Linotype" w:hAnsi="Palatino Linotype"/>
                <w:b/>
                <w:bCs/>
                <w:color w:val="000000"/>
                <w:sz w:val="20"/>
                <w:szCs w:val="20"/>
              </w:rPr>
            </w:pPr>
            <w:r w:rsidRPr="00B757C1">
              <w:rPr>
                <w:rFonts w:ascii="Palatino Linotype" w:hAnsi="Palatino Linotype"/>
                <w:b/>
                <w:bCs/>
                <w:color w:val="000000"/>
                <w:sz w:val="20"/>
                <w:szCs w:val="20"/>
              </w:rPr>
              <w:t>10,47</w:t>
            </w:r>
          </w:p>
        </w:tc>
        <w:tc>
          <w:tcPr>
            <w:tcW w:w="2127" w:type="dxa"/>
            <w:tcBorders>
              <w:bottom w:val="single" w:sz="12" w:space="0" w:color="auto"/>
            </w:tcBorders>
            <w:shd w:val="clear" w:color="auto" w:fill="auto"/>
            <w:noWrap/>
            <w:vAlign w:val="bottom"/>
            <w:hideMark/>
          </w:tcPr>
          <w:p w:rsidR="00BF5D40" w:rsidRPr="00B757C1" w:rsidRDefault="00BF5D40" w:rsidP="00A55508">
            <w:pPr>
              <w:spacing w:after="0"/>
              <w:jc w:val="right"/>
              <w:rPr>
                <w:rFonts w:ascii="Palatino Linotype" w:hAnsi="Palatino Linotype"/>
                <w:b/>
                <w:bCs/>
                <w:color w:val="000000"/>
                <w:sz w:val="20"/>
                <w:szCs w:val="20"/>
              </w:rPr>
            </w:pPr>
            <w:r w:rsidRPr="00B757C1">
              <w:rPr>
                <w:rFonts w:ascii="Palatino Linotype" w:hAnsi="Palatino Linotype"/>
                <w:b/>
                <w:bCs/>
                <w:color w:val="000000"/>
                <w:sz w:val="20"/>
                <w:szCs w:val="20"/>
              </w:rPr>
              <w:t>144,76</w:t>
            </w:r>
          </w:p>
        </w:tc>
      </w:tr>
    </w:tbl>
    <w:p w:rsidR="00BF5D40" w:rsidRPr="00C74836" w:rsidRDefault="00BF5D40" w:rsidP="00BF5D40">
      <w:pPr>
        <w:rPr>
          <w:rFonts w:ascii="Palatino Linotype" w:hAnsi="Palatino Linotype"/>
        </w:rPr>
      </w:pPr>
      <w:r w:rsidRPr="00C74836">
        <w:rPr>
          <w:rFonts w:ascii="Palatino Linotype" w:hAnsi="Palatino Linotype"/>
        </w:rPr>
        <w:t>Source: Dinas Koperasi dan UKM Provinsi Jambi, 2017</w:t>
      </w:r>
    </w:p>
    <w:p w:rsidR="00BF5D40" w:rsidRPr="00B757C1" w:rsidRDefault="00BF5D40" w:rsidP="00BF5D40">
      <w:pPr>
        <w:spacing w:before="120"/>
        <w:ind w:left="284" w:hanging="284"/>
        <w:rPr>
          <w:rFonts w:ascii="Palatino Linotype" w:hAnsi="Palatino Linotype"/>
          <w:b/>
          <w:sz w:val="20"/>
          <w:szCs w:val="20"/>
        </w:rPr>
      </w:pPr>
      <w:r w:rsidRPr="00B757C1">
        <w:rPr>
          <w:rFonts w:ascii="Palatino Linotype" w:hAnsi="Palatino Linotype"/>
          <w:b/>
          <w:sz w:val="20"/>
          <w:szCs w:val="20"/>
        </w:rPr>
        <w:t>B. FACTORS AFFECTING THE VALUE OF MSMEs PRODUCTION IN JAMBI PROVINCE</w:t>
      </w:r>
    </w:p>
    <w:p w:rsidR="00BF5D40" w:rsidRPr="00B757C1" w:rsidRDefault="00BF5D40" w:rsidP="00BF5D40">
      <w:pPr>
        <w:spacing w:before="120"/>
        <w:ind w:firstLine="450"/>
        <w:jc w:val="both"/>
        <w:rPr>
          <w:rFonts w:ascii="Palatino Linotype" w:hAnsi="Palatino Linotype"/>
          <w:sz w:val="20"/>
          <w:szCs w:val="20"/>
          <w:lang w:eastAsia="id-ID"/>
        </w:rPr>
      </w:pPr>
      <w:r w:rsidRPr="00B757C1">
        <w:rPr>
          <w:rFonts w:ascii="Palatino Linotype" w:hAnsi="Palatino Linotype"/>
          <w:sz w:val="20"/>
          <w:szCs w:val="20"/>
          <w:lang w:eastAsia="id-ID"/>
        </w:rPr>
        <w:t xml:space="preserve">After estimating these three approaches, we will choose which model is more suitable than the three estimators so that the best estimator will be obtained (unbiased). In this research, two model </w:t>
      </w:r>
      <w:r w:rsidRPr="00B757C1">
        <w:rPr>
          <w:rFonts w:ascii="Palatino Linotype" w:hAnsi="Palatino Linotype"/>
          <w:sz w:val="20"/>
          <w:szCs w:val="20"/>
          <w:lang w:eastAsia="id-ID"/>
        </w:rPr>
        <w:lastRenderedPageBreak/>
        <w:t>testing methods are used to get the best model that is F Test (Chow Test) to choose the best model between PLS method and fixed effect method and Hausman test to choose the best model between fixed effect method and random effects method.</w:t>
      </w:r>
    </w:p>
    <w:p w:rsidR="00BF5D40" w:rsidRPr="00B757C1" w:rsidRDefault="00BF5D40" w:rsidP="00BF5D40">
      <w:pPr>
        <w:spacing w:before="120"/>
        <w:ind w:left="720" w:hanging="720"/>
        <w:rPr>
          <w:rFonts w:ascii="Palatino Linotype" w:hAnsi="Palatino Linotype"/>
          <w:b/>
          <w:sz w:val="20"/>
          <w:szCs w:val="20"/>
        </w:rPr>
        <w:sectPr w:rsidR="00BF5D40" w:rsidRPr="00B757C1" w:rsidSect="00A40A03">
          <w:type w:val="continuous"/>
          <w:pgSz w:w="11909" w:h="16834" w:code="9"/>
          <w:pgMar w:top="1440" w:right="1440" w:bottom="1440" w:left="1440" w:header="1440" w:footer="992" w:gutter="0"/>
          <w:cols w:space="285"/>
          <w:titlePg/>
          <w:docGrid w:linePitch="360"/>
        </w:sectPr>
      </w:pPr>
    </w:p>
    <w:p w:rsidR="00BF5D40" w:rsidRDefault="00BF5D40" w:rsidP="00BF5D40">
      <w:pPr>
        <w:spacing w:before="120"/>
        <w:ind w:left="720" w:hanging="720"/>
        <w:rPr>
          <w:rFonts w:ascii="Palatino Linotype" w:hAnsi="Palatino Linotype"/>
          <w:b/>
          <w:sz w:val="20"/>
          <w:szCs w:val="20"/>
        </w:rPr>
      </w:pPr>
      <w:r w:rsidRPr="00B757C1">
        <w:rPr>
          <w:rFonts w:ascii="Palatino Linotype" w:hAnsi="Palatino Linotype"/>
          <w:b/>
          <w:sz w:val="20"/>
          <w:szCs w:val="20"/>
        </w:rPr>
        <w:lastRenderedPageBreak/>
        <w:t>Table 3. Estimation Method: Random Effect</w:t>
      </w:r>
    </w:p>
    <w:p w:rsidR="00BF5D40" w:rsidRDefault="00BF5D40" w:rsidP="00BF5D40">
      <w:pPr>
        <w:spacing w:before="120"/>
        <w:ind w:left="720" w:hanging="720"/>
        <w:rPr>
          <w:rFonts w:ascii="Palatino Linotype" w:hAnsi="Palatino Linotype"/>
          <w:b/>
          <w:sz w:val="20"/>
          <w:szCs w:val="20"/>
        </w:rPr>
      </w:pPr>
    </w:p>
    <w:tbl>
      <w:tblPr>
        <w:tblpPr w:leftFromText="180" w:rightFromText="180" w:vertAnchor="text" w:horzAnchor="margin" w:tblpY="-491"/>
        <w:tblW w:w="4848" w:type="pct"/>
        <w:tblCellMar>
          <w:left w:w="0" w:type="dxa"/>
          <w:right w:w="0" w:type="dxa"/>
        </w:tblCellMar>
        <w:tblLook w:val="0000"/>
      </w:tblPr>
      <w:tblGrid>
        <w:gridCol w:w="2703"/>
        <w:gridCol w:w="1478"/>
        <w:gridCol w:w="1618"/>
        <w:gridCol w:w="1620"/>
        <w:gridCol w:w="1336"/>
      </w:tblGrid>
      <w:tr w:rsidR="00BF5D40" w:rsidRPr="00B757C1" w:rsidTr="00A55508">
        <w:trPr>
          <w:trHeight w:val="174"/>
        </w:trPr>
        <w:tc>
          <w:tcPr>
            <w:tcW w:w="4237" w:type="pct"/>
            <w:gridSpan w:val="4"/>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Correlated Random Effects - Hausman Test</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2388" w:type="pct"/>
            <w:gridSpan w:val="2"/>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Pool: Untitled</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4237" w:type="pct"/>
            <w:gridSpan w:val="4"/>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Test cross-section random effects</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69"/>
        </w:trPr>
        <w:tc>
          <w:tcPr>
            <w:tcW w:w="15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10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2388" w:type="pct"/>
            <w:gridSpan w:val="2"/>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Test Summary</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Chi-Sq. Statistic</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Chi-Sq. d.f.</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Prob. </w:t>
            </w:r>
          </w:p>
        </w:tc>
      </w:tr>
      <w:tr w:rsidR="00BF5D40" w:rsidRPr="00B757C1" w:rsidTr="00A55508">
        <w:trPr>
          <w:trHeight w:hRule="exact" w:val="69"/>
        </w:trPr>
        <w:tc>
          <w:tcPr>
            <w:tcW w:w="15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10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b/>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b/>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b/>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b/>
                <w:color w:val="000000"/>
                <w:sz w:val="16"/>
                <w:szCs w:val="16"/>
              </w:rPr>
            </w:pPr>
          </w:p>
        </w:tc>
      </w:tr>
      <w:tr w:rsidR="00BF5D40" w:rsidRPr="00B757C1" w:rsidTr="00A55508">
        <w:trPr>
          <w:trHeight w:val="174"/>
        </w:trPr>
        <w:tc>
          <w:tcPr>
            <w:tcW w:w="2388" w:type="pct"/>
            <w:gridSpan w:val="2"/>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b/>
                <w:color w:val="000000"/>
                <w:sz w:val="16"/>
                <w:szCs w:val="16"/>
              </w:rPr>
            </w:pPr>
            <w:r w:rsidRPr="00B757C1">
              <w:rPr>
                <w:b/>
                <w:color w:val="000000"/>
                <w:sz w:val="16"/>
                <w:szCs w:val="16"/>
              </w:rPr>
              <w:t>Cross-section random</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b/>
                <w:color w:val="000000"/>
                <w:sz w:val="16"/>
                <w:szCs w:val="16"/>
              </w:rPr>
            </w:pPr>
            <w:r w:rsidRPr="00B757C1">
              <w:rPr>
                <w:b/>
                <w:color w:val="000000"/>
                <w:sz w:val="16"/>
                <w:szCs w:val="16"/>
              </w:rPr>
              <w:t>4.662519</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b/>
                <w:color w:val="000000"/>
                <w:sz w:val="16"/>
                <w:szCs w:val="16"/>
              </w:rPr>
            </w:pPr>
            <w:r w:rsidRPr="00B757C1">
              <w:rPr>
                <w:b/>
                <w:color w:val="000000"/>
                <w:sz w:val="16"/>
                <w:szCs w:val="16"/>
              </w:rPr>
              <w:t>4</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b/>
                <w:color w:val="000000"/>
                <w:sz w:val="16"/>
                <w:szCs w:val="16"/>
              </w:rPr>
            </w:pPr>
            <w:r w:rsidRPr="00B757C1">
              <w:rPr>
                <w:b/>
                <w:color w:val="000000"/>
                <w:sz w:val="16"/>
                <w:szCs w:val="16"/>
              </w:rPr>
              <w:t>0.3237</w:t>
            </w:r>
          </w:p>
        </w:tc>
      </w:tr>
      <w:tr w:rsidR="00BF5D40" w:rsidRPr="00B757C1" w:rsidTr="00A55508">
        <w:trPr>
          <w:trHeight w:hRule="exact" w:val="69"/>
        </w:trPr>
        <w:tc>
          <w:tcPr>
            <w:tcW w:w="15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10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5000" w:type="pct"/>
            <w:gridSpan w:val="5"/>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Cross-section random effects test comparisons:</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r w:rsidRPr="00B757C1">
              <w:rPr>
                <w:color w:val="000000"/>
                <w:sz w:val="16"/>
                <w:szCs w:val="16"/>
              </w:rPr>
              <w:t>Variable</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Fixed  </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Random </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Var(Diff.) </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Prob. </w:t>
            </w:r>
          </w:p>
        </w:tc>
      </w:tr>
      <w:tr w:rsidR="00BF5D40" w:rsidRPr="00B757C1" w:rsidTr="00A55508">
        <w:trPr>
          <w:trHeight w:hRule="exact" w:val="69"/>
        </w:trPr>
        <w:tc>
          <w:tcPr>
            <w:tcW w:w="15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10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r w:rsidRPr="00B757C1">
              <w:rPr>
                <w:color w:val="000000"/>
                <w:sz w:val="16"/>
                <w:szCs w:val="16"/>
              </w:rPr>
              <w:t>LNKRED?</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0.205681</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0.224757</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0.010096</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0.8494</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r w:rsidRPr="00B757C1">
              <w:rPr>
                <w:color w:val="000000"/>
                <w:sz w:val="16"/>
                <w:szCs w:val="16"/>
              </w:rPr>
              <w:t>LNJUS?</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-0.472470</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-0.271574</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0.069353</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0.4456</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r w:rsidRPr="00B757C1">
              <w:rPr>
                <w:color w:val="000000"/>
                <w:sz w:val="16"/>
                <w:szCs w:val="16"/>
              </w:rPr>
              <w:t>LNTK?</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0.614785</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0.342535</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0.062514</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0.2762</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r w:rsidRPr="00B757C1">
              <w:rPr>
                <w:color w:val="000000"/>
                <w:sz w:val="16"/>
                <w:szCs w:val="16"/>
              </w:rPr>
              <w:t>LNASET?</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0.919371</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0.922154</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0.000332</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0.8786</w:t>
            </w:r>
          </w:p>
        </w:tc>
      </w:tr>
      <w:tr w:rsidR="00BF5D40" w:rsidRPr="00B757C1" w:rsidTr="00A55508">
        <w:trPr>
          <w:trHeight w:hRule="exact" w:val="69"/>
        </w:trPr>
        <w:tc>
          <w:tcPr>
            <w:tcW w:w="15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10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4237" w:type="pct"/>
            <w:gridSpan w:val="4"/>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Cross-section random effects test equation:</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3312" w:type="pct"/>
            <w:gridSpan w:val="3"/>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Dependent Variable: LNGRDP?</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3312" w:type="pct"/>
            <w:gridSpan w:val="3"/>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Method: Panel Least Squares</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3312" w:type="pct"/>
            <w:gridSpan w:val="3"/>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Date: 10/08/17   Time: 18:54</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3312" w:type="pct"/>
            <w:gridSpan w:val="3"/>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Sample: 2010 2015</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3312" w:type="pct"/>
            <w:gridSpan w:val="3"/>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Included observations: 6</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3312" w:type="pct"/>
            <w:gridSpan w:val="3"/>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Cross-sections included: 11</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4237" w:type="pct"/>
            <w:gridSpan w:val="4"/>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Total pool (balanced) observations: 66</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69"/>
        </w:trPr>
        <w:tc>
          <w:tcPr>
            <w:tcW w:w="15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10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r w:rsidRPr="00B757C1">
              <w:rPr>
                <w:color w:val="000000"/>
                <w:sz w:val="16"/>
                <w:szCs w:val="16"/>
              </w:rPr>
              <w:t>Variable</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Coefficient</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Std. Error</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t-Statistic</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Prob.  </w:t>
            </w:r>
          </w:p>
        </w:tc>
      </w:tr>
      <w:tr w:rsidR="00BF5D40" w:rsidRPr="00B757C1" w:rsidTr="00A55508">
        <w:trPr>
          <w:trHeight w:hRule="exact" w:val="69"/>
        </w:trPr>
        <w:tc>
          <w:tcPr>
            <w:tcW w:w="15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10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r w:rsidRPr="00B757C1">
              <w:rPr>
                <w:color w:val="000000"/>
                <w:sz w:val="16"/>
                <w:szCs w:val="16"/>
              </w:rPr>
              <w:t>C</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-1.279693</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1.543221</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-0.829235</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0.4108</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r w:rsidRPr="00B757C1">
              <w:rPr>
                <w:color w:val="000000"/>
                <w:sz w:val="16"/>
                <w:szCs w:val="16"/>
              </w:rPr>
              <w:t>LNKRED?</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0.205681</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0.138632</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1.483644</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0.1441</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r w:rsidRPr="00B757C1">
              <w:rPr>
                <w:color w:val="000000"/>
                <w:sz w:val="16"/>
                <w:szCs w:val="16"/>
              </w:rPr>
              <w:t>LNJUS?</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-0.472470</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0.430835</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-1.096640</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0.2780</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r w:rsidRPr="00B757C1">
              <w:rPr>
                <w:color w:val="000000"/>
                <w:sz w:val="16"/>
                <w:szCs w:val="16"/>
              </w:rPr>
              <w:t>LNTK?</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0.614785</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0.406040</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1.514099</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0.1362</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r w:rsidRPr="00B757C1">
              <w:rPr>
                <w:color w:val="000000"/>
                <w:sz w:val="16"/>
                <w:szCs w:val="16"/>
              </w:rPr>
              <w:t>LNASET?</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0.919371</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0.045462</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20.22272</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0.0000</w:t>
            </w:r>
          </w:p>
        </w:tc>
      </w:tr>
      <w:tr w:rsidR="00BF5D40" w:rsidRPr="00B757C1" w:rsidTr="00A55508">
        <w:trPr>
          <w:trHeight w:hRule="exact" w:val="69"/>
        </w:trPr>
        <w:tc>
          <w:tcPr>
            <w:tcW w:w="15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10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1768" w:type="pct"/>
            <w:gridSpan w:val="2"/>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r w:rsidRPr="00B757C1">
              <w:rPr>
                <w:color w:val="000000"/>
                <w:sz w:val="16"/>
                <w:szCs w:val="16"/>
              </w:rPr>
              <w:t>Effects Specification</w:t>
            </w: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69"/>
        </w:trPr>
        <w:tc>
          <w:tcPr>
            <w:tcW w:w="15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10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4237" w:type="pct"/>
            <w:gridSpan w:val="4"/>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Cross-section fixed (dummy variables)</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69"/>
        </w:trPr>
        <w:tc>
          <w:tcPr>
            <w:tcW w:w="15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double" w:sz="6" w:space="2"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10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R-squared</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0.974517</w:t>
            </w:r>
          </w:p>
        </w:tc>
        <w:tc>
          <w:tcPr>
            <w:tcW w:w="1849" w:type="pct"/>
            <w:gridSpan w:val="2"/>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rPr>
                <w:color w:val="000000"/>
                <w:sz w:val="16"/>
                <w:szCs w:val="16"/>
              </w:rPr>
            </w:pPr>
            <w:r w:rsidRPr="00B757C1">
              <w:rPr>
                <w:color w:val="000000"/>
                <w:sz w:val="16"/>
                <w:szCs w:val="16"/>
              </w:rPr>
              <w:t>    Mean dependent var</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23.23420</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Adjusted R-squared</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0.967522</w:t>
            </w:r>
          </w:p>
        </w:tc>
        <w:tc>
          <w:tcPr>
            <w:tcW w:w="1849" w:type="pct"/>
            <w:gridSpan w:val="2"/>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rPr>
                <w:color w:val="000000"/>
                <w:sz w:val="16"/>
                <w:szCs w:val="16"/>
              </w:rPr>
            </w:pPr>
            <w:r w:rsidRPr="00B757C1">
              <w:rPr>
                <w:color w:val="000000"/>
                <w:sz w:val="16"/>
                <w:szCs w:val="16"/>
              </w:rPr>
              <w:t>    S.D. dependent var</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5.236870</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S.E. of regression</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0.943770</w:t>
            </w:r>
          </w:p>
        </w:tc>
        <w:tc>
          <w:tcPr>
            <w:tcW w:w="1849" w:type="pct"/>
            <w:gridSpan w:val="2"/>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rPr>
                <w:color w:val="000000"/>
                <w:sz w:val="16"/>
                <w:szCs w:val="16"/>
              </w:rPr>
            </w:pPr>
            <w:r w:rsidRPr="00B757C1">
              <w:rPr>
                <w:color w:val="000000"/>
                <w:sz w:val="16"/>
                <w:szCs w:val="16"/>
              </w:rPr>
              <w:t>    Akaike info criterion</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2.918848</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Sum squared resid</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45.42580</w:t>
            </w:r>
          </w:p>
        </w:tc>
        <w:tc>
          <w:tcPr>
            <w:tcW w:w="1849" w:type="pct"/>
            <w:gridSpan w:val="2"/>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rPr>
                <w:color w:val="000000"/>
                <w:sz w:val="16"/>
                <w:szCs w:val="16"/>
              </w:rPr>
            </w:pPr>
            <w:r w:rsidRPr="00B757C1">
              <w:rPr>
                <w:color w:val="000000"/>
                <w:sz w:val="16"/>
                <w:szCs w:val="16"/>
              </w:rPr>
              <w:t>    Schwarz criterion</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3.416497</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Log likelihood</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-81.32198</w:t>
            </w:r>
          </w:p>
        </w:tc>
        <w:tc>
          <w:tcPr>
            <w:tcW w:w="1849" w:type="pct"/>
            <w:gridSpan w:val="2"/>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rPr>
                <w:color w:val="000000"/>
                <w:sz w:val="16"/>
                <w:szCs w:val="16"/>
              </w:rPr>
            </w:pPr>
            <w:r w:rsidRPr="00B757C1">
              <w:rPr>
                <w:color w:val="000000"/>
                <w:sz w:val="16"/>
                <w:szCs w:val="16"/>
              </w:rPr>
              <w:t>    Hannan-Quinn criter.</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3.115493</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F-statistic</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139.3112</w:t>
            </w:r>
          </w:p>
        </w:tc>
        <w:tc>
          <w:tcPr>
            <w:tcW w:w="1849" w:type="pct"/>
            <w:gridSpan w:val="2"/>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rPr>
                <w:color w:val="000000"/>
                <w:sz w:val="16"/>
                <w:szCs w:val="16"/>
              </w:rPr>
            </w:pPr>
            <w:r w:rsidRPr="00B757C1">
              <w:rPr>
                <w:color w:val="000000"/>
                <w:sz w:val="16"/>
                <w:szCs w:val="16"/>
              </w:rPr>
              <w:t>    Durbin-Watson stat</w:t>
            </w: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1.447677</w:t>
            </w:r>
          </w:p>
        </w:tc>
      </w:tr>
      <w:tr w:rsidR="00BF5D40" w:rsidRPr="00B757C1" w:rsidTr="00A55508">
        <w:trPr>
          <w:trHeight w:val="17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rPr>
                <w:color w:val="000000"/>
                <w:sz w:val="16"/>
                <w:szCs w:val="16"/>
              </w:rPr>
            </w:pPr>
            <w:r w:rsidRPr="00B757C1">
              <w:rPr>
                <w:color w:val="000000"/>
                <w:sz w:val="16"/>
                <w:szCs w:val="16"/>
              </w:rPr>
              <w:t>Prob(F-statistic)</w:t>
            </w: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right"/>
              <w:rPr>
                <w:color w:val="000000"/>
                <w:sz w:val="16"/>
                <w:szCs w:val="16"/>
              </w:rPr>
            </w:pPr>
            <w:r w:rsidRPr="00B757C1">
              <w:rPr>
                <w:color w:val="000000"/>
                <w:sz w:val="16"/>
                <w:szCs w:val="16"/>
              </w:rPr>
              <w:t>0.000000</w:t>
            </w: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ind w:right="10"/>
              <w:jc w:val="center"/>
              <w:rPr>
                <w:color w:val="000000"/>
                <w:sz w:val="16"/>
                <w:szCs w:val="16"/>
              </w:rPr>
            </w:pPr>
          </w:p>
        </w:tc>
      </w:tr>
      <w:tr w:rsidR="00BF5D40" w:rsidRPr="00B757C1" w:rsidTr="00A55508">
        <w:trPr>
          <w:trHeight w:hRule="exact" w:val="69"/>
        </w:trPr>
        <w:tc>
          <w:tcPr>
            <w:tcW w:w="1544" w:type="pct"/>
            <w:tcBorders>
              <w:top w:val="nil"/>
              <w:left w:val="nil"/>
              <w:bottom w:val="double" w:sz="6" w:space="0"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double" w:sz="6" w:space="0"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double" w:sz="6" w:space="0"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double" w:sz="6" w:space="0"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double" w:sz="6" w:space="0" w:color="auto"/>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r w:rsidR="00BF5D40" w:rsidRPr="00B757C1" w:rsidTr="00A55508">
        <w:trPr>
          <w:trHeight w:hRule="exact" w:val="104"/>
        </w:trPr>
        <w:tc>
          <w:tcPr>
            <w:tcW w:w="15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84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4"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925"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c>
          <w:tcPr>
            <w:tcW w:w="763" w:type="pct"/>
            <w:tcBorders>
              <w:top w:val="nil"/>
              <w:left w:val="nil"/>
              <w:bottom w:val="nil"/>
              <w:right w:val="nil"/>
            </w:tcBorders>
            <w:shd w:val="clear" w:color="auto" w:fill="F4F4F4"/>
            <w:vAlign w:val="bottom"/>
          </w:tcPr>
          <w:p w:rsidR="00BF5D40" w:rsidRPr="00B757C1" w:rsidRDefault="00BF5D40" w:rsidP="00A55508">
            <w:pPr>
              <w:autoSpaceDE w:val="0"/>
              <w:autoSpaceDN w:val="0"/>
              <w:adjustRightInd w:val="0"/>
              <w:spacing w:after="0" w:line="240" w:lineRule="auto"/>
              <w:jc w:val="center"/>
              <w:rPr>
                <w:color w:val="000000"/>
                <w:sz w:val="16"/>
                <w:szCs w:val="16"/>
              </w:rPr>
            </w:pPr>
          </w:p>
        </w:tc>
      </w:tr>
    </w:tbl>
    <w:p w:rsidR="00BF5D40" w:rsidRPr="00B757C1" w:rsidRDefault="00BF5D40" w:rsidP="00BF5D40">
      <w:pPr>
        <w:spacing w:before="120"/>
        <w:ind w:left="720" w:hanging="720"/>
        <w:rPr>
          <w:rFonts w:ascii="Palatino Linotype" w:hAnsi="Palatino Linotype"/>
          <w:b/>
          <w:sz w:val="20"/>
          <w:szCs w:val="20"/>
        </w:rPr>
        <w:sectPr w:rsidR="00BF5D40" w:rsidRPr="00B757C1" w:rsidSect="000931D7">
          <w:type w:val="continuous"/>
          <w:pgSz w:w="11909" w:h="16834" w:code="9"/>
          <w:pgMar w:top="1440" w:right="1440" w:bottom="1440" w:left="1440" w:header="1440" w:footer="992" w:gutter="0"/>
          <w:pgNumType w:start="1"/>
          <w:cols w:space="285"/>
          <w:titlePg/>
          <w:docGrid w:linePitch="360"/>
        </w:sectPr>
      </w:pPr>
    </w:p>
    <w:p w:rsidR="00BF5D40" w:rsidRDefault="00BF5D40" w:rsidP="00BF5D40">
      <w:pPr>
        <w:spacing w:before="120"/>
        <w:ind w:left="720" w:hanging="720"/>
        <w:rPr>
          <w:rFonts w:ascii="Palatino Linotype" w:hAnsi="Palatino Linotype"/>
          <w:b/>
        </w:rPr>
      </w:pPr>
    </w:p>
    <w:p w:rsidR="00A94CB9" w:rsidRDefault="00A94CB9" w:rsidP="00BF5D40">
      <w:pPr>
        <w:spacing w:before="120"/>
        <w:ind w:left="720" w:hanging="720"/>
        <w:rPr>
          <w:rFonts w:ascii="Palatino Linotype" w:hAnsi="Palatino Linotype"/>
          <w:b/>
        </w:rPr>
      </w:pPr>
    </w:p>
    <w:p w:rsidR="00A94CB9" w:rsidRPr="00FC06D8" w:rsidRDefault="00A94CB9" w:rsidP="00BF5D40">
      <w:pPr>
        <w:spacing w:before="120"/>
        <w:ind w:left="720" w:hanging="720"/>
        <w:rPr>
          <w:rFonts w:ascii="Palatino Linotype" w:hAnsi="Palatino Linotype"/>
          <w:b/>
        </w:rPr>
      </w:pPr>
    </w:p>
    <w:p w:rsidR="00BF5D40" w:rsidRPr="00B757C1" w:rsidRDefault="00BF5D40" w:rsidP="00BF5D40">
      <w:pPr>
        <w:tabs>
          <w:tab w:val="left" w:pos="567"/>
        </w:tabs>
        <w:spacing w:after="100" w:afterAutospacing="1"/>
        <w:jc w:val="both"/>
        <w:rPr>
          <w:rFonts w:ascii="Palatino Linotype" w:hAnsi="Palatino Linotype"/>
          <w:b/>
          <w:sz w:val="20"/>
          <w:szCs w:val="20"/>
        </w:rPr>
      </w:pPr>
      <w:r w:rsidRPr="00B757C1">
        <w:rPr>
          <w:rFonts w:ascii="Palatino Linotype" w:hAnsi="Palatino Linotype"/>
          <w:b/>
          <w:sz w:val="20"/>
          <w:szCs w:val="20"/>
        </w:rPr>
        <w:lastRenderedPageBreak/>
        <w:t>INTERPRETATION OF REGRESSION RESULT WITH BEST MODEL (RANDOM EFFECT)</w:t>
      </w:r>
    </w:p>
    <w:p w:rsidR="00BF5D40" w:rsidRPr="00B757C1" w:rsidRDefault="00BF5D40" w:rsidP="00BF5D40">
      <w:pPr>
        <w:ind w:firstLine="450"/>
        <w:jc w:val="both"/>
        <w:rPr>
          <w:rFonts w:ascii="Palatino Linotype" w:hAnsi="Palatino Linotype"/>
          <w:sz w:val="20"/>
          <w:szCs w:val="20"/>
        </w:rPr>
      </w:pPr>
      <w:r w:rsidRPr="00B757C1">
        <w:rPr>
          <w:rFonts w:ascii="Palatino Linotype" w:hAnsi="Palatino Linotype"/>
          <w:sz w:val="20"/>
          <w:szCs w:val="20"/>
        </w:rPr>
        <w:t>Based on the result of model selection test that has determined the Random Effect model as the best model, the causality relationship between the variables formed according to the best model estimator from Random Effect regression analysis in the table can be represented by the following equation:</w:t>
      </w:r>
    </w:p>
    <w:p w:rsidR="00BF5D40" w:rsidRPr="00B757C1" w:rsidRDefault="00BF5D40" w:rsidP="00BF5D40">
      <w:pPr>
        <w:ind w:firstLine="450"/>
        <w:jc w:val="both"/>
        <w:rPr>
          <w:rFonts w:ascii="Palatino Linotype" w:hAnsi="Palatino Linotype"/>
          <w:sz w:val="20"/>
          <w:szCs w:val="20"/>
        </w:rPr>
      </w:pPr>
      <w:r w:rsidRPr="00B757C1">
        <w:rPr>
          <w:rFonts w:ascii="Palatino Linotype" w:hAnsi="Palatino Linotype"/>
          <w:sz w:val="20"/>
          <w:szCs w:val="20"/>
        </w:rPr>
        <w:t>Based on the results of model selection tests that have set the Fixed Effect model as the best model, then the causality relationship between variables formed according to the best model estimator Random Effect regression analysis results in the above table, can be represented by the following equation:</w:t>
      </w:r>
    </w:p>
    <w:p w:rsidR="00BF5D40" w:rsidRPr="00DB17F2" w:rsidRDefault="00BF5D40" w:rsidP="00BF5D40">
      <w:pPr>
        <w:rPr>
          <w:rFonts w:ascii="Palatino Linotype" w:hAnsi="Palatino Linotype"/>
          <w:sz w:val="20"/>
          <w:szCs w:val="20"/>
        </w:rPr>
      </w:pPr>
      <m:oMath>
        <m:r>
          <m:rPr>
            <m:sty m:val="p"/>
          </m:rPr>
          <w:rPr>
            <w:rFonts w:ascii="Cambria Math" w:hAnsi="Palatino Linotype"/>
            <w:sz w:val="20"/>
            <w:szCs w:val="20"/>
          </w:rPr>
          <m:t>LNPDRB</m:t>
        </m:r>
        <m:r>
          <m:rPr>
            <m:sty m:val="p"/>
          </m:rPr>
          <w:rPr>
            <w:rFonts w:ascii="Cambria Math" w:hAnsi="Palatino Linotype"/>
            <w:sz w:val="20"/>
            <w:szCs w:val="20"/>
          </w:rPr>
          <m:t xml:space="preserve"> </m:t>
        </m:r>
        <m:r>
          <m:rPr>
            <m:sty m:val="p"/>
          </m:rPr>
          <w:rPr>
            <w:rFonts w:ascii="Cambria Math" w:hAnsi="Palatino Linotype"/>
            <w:sz w:val="20"/>
            <w:szCs w:val="20"/>
          </w:rPr>
          <m:t>it</m:t>
        </m:r>
        <m:r>
          <m:rPr>
            <m:sty m:val="p"/>
          </m:rPr>
          <w:rPr>
            <w:rFonts w:ascii="Cambria Math" w:hAnsi="Palatino Linotype"/>
            <w:sz w:val="20"/>
            <w:szCs w:val="20"/>
          </w:rPr>
          <m:t>=</m:t>
        </m:r>
        <m:r>
          <m:rPr>
            <m:sty m:val="p"/>
          </m:rPr>
          <w:rPr>
            <w:rFonts w:ascii="Cambria Math" w:hAnsi="Palatino Linotype"/>
            <w:sz w:val="20"/>
            <w:szCs w:val="20"/>
          </w:rPr>
          <w:softHyphen/>
        </m:r>
        <m:r>
          <m:rPr>
            <m:sty m:val="p"/>
          </m:rPr>
          <w:rPr>
            <w:rFonts w:ascii="Palatino Linotype" w:hAnsi="Palatino Linotype"/>
            <w:sz w:val="20"/>
            <w:szCs w:val="20"/>
          </w:rPr>
          <m:t>-</m:t>
        </m:r>
        <m:r>
          <m:rPr>
            <m:sty m:val="p"/>
          </m:rPr>
          <w:rPr>
            <w:rFonts w:ascii="Cambria Math" w:hAnsi="Palatino Linotype"/>
            <w:sz w:val="20"/>
            <w:szCs w:val="20"/>
          </w:rPr>
          <m:t>0</m:t>
        </m:r>
        <m:r>
          <m:rPr>
            <m:sty m:val="p"/>
          </m:rPr>
          <w:rPr>
            <w:rFonts w:ascii="Cambria Math" w:hAnsi="Palatino Linotype"/>
            <w:sz w:val="20"/>
            <w:szCs w:val="20"/>
          </w:rPr>
          <m:t>,</m:t>
        </m:r>
        <m:r>
          <m:rPr>
            <m:sty m:val="p"/>
          </m:rPr>
          <w:rPr>
            <w:rFonts w:ascii="Cambria Math" w:hAnsi="Palatino Linotype"/>
            <w:sz w:val="20"/>
            <w:szCs w:val="20"/>
          </w:rPr>
          <m:t>90266</m:t>
        </m:r>
        <m:r>
          <m:rPr>
            <m:sty m:val="p"/>
          </m:rPr>
          <w:rPr>
            <w:rFonts w:ascii="Cambria Math" w:hAnsi="Palatino Linotype"/>
            <w:sz w:val="20"/>
            <w:szCs w:val="20"/>
          </w:rPr>
          <m:t>+</m:t>
        </m:r>
        <m:r>
          <m:rPr>
            <m:sty m:val="p"/>
          </m:rPr>
          <w:rPr>
            <w:rFonts w:ascii="Cambria Math" w:hAnsi="Palatino Linotype"/>
            <w:sz w:val="20"/>
            <w:szCs w:val="20"/>
          </w:rPr>
          <m:t>0</m:t>
        </m:r>
        <m:r>
          <m:rPr>
            <m:sty m:val="p"/>
          </m:rPr>
          <w:rPr>
            <w:rFonts w:ascii="Cambria Math" w:hAnsi="Palatino Linotype"/>
            <w:sz w:val="20"/>
            <w:szCs w:val="20"/>
          </w:rPr>
          <m:t>,</m:t>
        </m:r>
        <m:r>
          <m:rPr>
            <m:sty m:val="p"/>
          </m:rPr>
          <w:rPr>
            <w:rFonts w:ascii="Cambria Math" w:hAnsi="Palatino Linotype"/>
            <w:sz w:val="20"/>
            <w:szCs w:val="20"/>
          </w:rPr>
          <m:t>2248</m:t>
        </m:r>
        <m:sSub>
          <m:sSubPr>
            <m:ctrlPr>
              <w:rPr>
                <w:rFonts w:ascii="Cambria Math" w:hAnsi="Palatino Linotype"/>
                <w:sz w:val="20"/>
                <w:szCs w:val="20"/>
              </w:rPr>
            </m:ctrlPr>
          </m:sSubPr>
          <m:e>
            <m:r>
              <m:rPr>
                <m:sty m:val="p"/>
              </m:rPr>
              <w:rPr>
                <w:rFonts w:ascii="Cambria Math" w:hAnsi="Palatino Linotype"/>
                <w:sz w:val="20"/>
                <w:szCs w:val="20"/>
              </w:rPr>
              <m:t>LNKRED</m:t>
            </m:r>
          </m:e>
          <m:sub>
            <m:r>
              <m:rPr>
                <m:sty m:val="p"/>
              </m:rPr>
              <w:rPr>
                <w:rFonts w:ascii="Cambria Math" w:hAnsi="Palatino Linotype"/>
                <w:sz w:val="20"/>
                <w:szCs w:val="20"/>
              </w:rPr>
              <m:t>it</m:t>
            </m:r>
          </m:sub>
        </m:sSub>
        <m:r>
          <m:rPr>
            <m:sty m:val="p"/>
          </m:rPr>
          <w:rPr>
            <w:rFonts w:ascii="Palatino Linotype" w:hAnsi="Palatino Linotype"/>
            <w:sz w:val="20"/>
            <w:szCs w:val="20"/>
          </w:rPr>
          <m:t>-</m:t>
        </m:r>
        <m:r>
          <m:rPr>
            <m:sty m:val="p"/>
          </m:rPr>
          <w:rPr>
            <w:rFonts w:ascii="Cambria Math" w:hAnsi="Palatino Linotype"/>
            <w:sz w:val="20"/>
            <w:szCs w:val="20"/>
          </w:rPr>
          <m:t xml:space="preserve"> </m:t>
        </m:r>
        <m:r>
          <m:rPr>
            <m:sty m:val="p"/>
          </m:rPr>
          <w:rPr>
            <w:rFonts w:ascii="Cambria Math" w:hAnsi="Palatino Linotype"/>
            <w:sz w:val="20"/>
            <w:szCs w:val="20"/>
          </w:rPr>
          <m:t>0</m:t>
        </m:r>
        <m:r>
          <m:rPr>
            <m:sty m:val="p"/>
          </m:rPr>
          <w:rPr>
            <w:rFonts w:ascii="Cambria Math" w:hAnsi="Palatino Linotype"/>
            <w:sz w:val="20"/>
            <w:szCs w:val="20"/>
          </w:rPr>
          <m:t>,</m:t>
        </m:r>
        <m:r>
          <m:rPr>
            <m:sty m:val="p"/>
          </m:rPr>
          <w:rPr>
            <w:rFonts w:ascii="Cambria Math" w:hAnsi="Palatino Linotype"/>
            <w:sz w:val="20"/>
            <w:szCs w:val="20"/>
          </w:rPr>
          <m:t>2716</m:t>
        </m:r>
        <m:r>
          <m:rPr>
            <m:sty m:val="p"/>
          </m:rPr>
          <w:rPr>
            <w:rFonts w:ascii="Cambria Math" w:hAnsi="Palatino Linotype"/>
            <w:sz w:val="20"/>
            <w:szCs w:val="20"/>
          </w:rPr>
          <m:t xml:space="preserve"> </m:t>
        </m:r>
        <m:sSub>
          <m:sSubPr>
            <m:ctrlPr>
              <w:rPr>
                <w:rFonts w:ascii="Cambria Math" w:hAnsi="Palatino Linotype"/>
                <w:sz w:val="20"/>
                <w:szCs w:val="20"/>
              </w:rPr>
            </m:ctrlPr>
          </m:sSubPr>
          <m:e>
            <m:r>
              <m:rPr>
                <m:sty m:val="p"/>
              </m:rPr>
              <w:rPr>
                <w:rFonts w:ascii="Cambria Math" w:hAnsi="Palatino Linotype"/>
                <w:sz w:val="20"/>
                <w:szCs w:val="20"/>
              </w:rPr>
              <m:t>LNJUS</m:t>
            </m:r>
          </m:e>
          <m:sub>
            <m:r>
              <m:rPr>
                <m:sty m:val="p"/>
              </m:rPr>
              <w:rPr>
                <w:rFonts w:ascii="Cambria Math" w:hAnsi="Palatino Linotype"/>
                <w:sz w:val="20"/>
                <w:szCs w:val="20"/>
              </w:rPr>
              <m:t>it</m:t>
            </m:r>
          </m:sub>
        </m:sSub>
        <m:r>
          <m:rPr>
            <m:sty m:val="p"/>
          </m:rPr>
          <w:rPr>
            <w:rFonts w:ascii="Cambria Math" w:hAnsi="Palatino Linotype"/>
            <w:sz w:val="20"/>
            <w:szCs w:val="20"/>
          </w:rPr>
          <m:t>+</m:t>
        </m:r>
        <m:r>
          <m:rPr>
            <m:sty m:val="p"/>
          </m:rPr>
          <w:rPr>
            <w:rFonts w:ascii="Cambria Math" w:hAnsi="Palatino Linotype"/>
            <w:sz w:val="20"/>
            <w:szCs w:val="20"/>
          </w:rPr>
          <m:t>0</m:t>
        </m:r>
        <m:r>
          <m:rPr>
            <m:sty m:val="p"/>
          </m:rPr>
          <w:rPr>
            <w:rFonts w:ascii="Cambria Math" w:hAnsi="Palatino Linotype"/>
            <w:sz w:val="20"/>
            <w:szCs w:val="20"/>
          </w:rPr>
          <m:t>,</m:t>
        </m:r>
        <m:r>
          <m:rPr>
            <m:sty m:val="p"/>
          </m:rPr>
          <w:rPr>
            <w:rFonts w:ascii="Cambria Math" w:hAnsi="Palatino Linotype"/>
            <w:sz w:val="20"/>
            <w:szCs w:val="20"/>
          </w:rPr>
          <m:t>3425</m:t>
        </m:r>
        <m:sSub>
          <m:sSubPr>
            <m:ctrlPr>
              <w:rPr>
                <w:rFonts w:ascii="Cambria Math" w:hAnsi="Palatino Linotype"/>
                <w:sz w:val="20"/>
                <w:szCs w:val="20"/>
              </w:rPr>
            </m:ctrlPr>
          </m:sSubPr>
          <m:e>
            <m:r>
              <m:rPr>
                <m:sty m:val="p"/>
              </m:rPr>
              <w:rPr>
                <w:rFonts w:ascii="Cambria Math" w:hAnsi="Palatino Linotype"/>
                <w:sz w:val="20"/>
                <w:szCs w:val="20"/>
              </w:rPr>
              <m:t xml:space="preserve"> </m:t>
            </m:r>
            <m:r>
              <m:rPr>
                <m:sty m:val="p"/>
              </m:rPr>
              <w:rPr>
                <w:rFonts w:ascii="Cambria Math" w:hAnsi="Palatino Linotype"/>
                <w:sz w:val="20"/>
                <w:szCs w:val="20"/>
              </w:rPr>
              <m:t>LNTK</m:t>
            </m:r>
          </m:e>
          <m:sub>
            <m:r>
              <m:rPr>
                <m:sty m:val="p"/>
              </m:rPr>
              <w:rPr>
                <w:rFonts w:ascii="Cambria Math" w:hAnsi="Palatino Linotype"/>
                <w:sz w:val="20"/>
                <w:szCs w:val="20"/>
              </w:rPr>
              <m:t>it</m:t>
            </m:r>
          </m:sub>
        </m:sSub>
        <m:r>
          <m:rPr>
            <m:sty m:val="p"/>
          </m:rPr>
          <w:rPr>
            <w:rFonts w:ascii="Cambria Math" w:hAnsi="Palatino Linotype"/>
            <w:sz w:val="20"/>
            <w:szCs w:val="20"/>
          </w:rPr>
          <m:t>+</m:t>
        </m:r>
        <m:sSub>
          <m:sSubPr>
            <m:ctrlPr>
              <w:rPr>
                <w:rFonts w:ascii="Cambria Math" w:hAnsi="Palatino Linotype"/>
                <w:sz w:val="20"/>
                <w:szCs w:val="20"/>
              </w:rPr>
            </m:ctrlPr>
          </m:sSubPr>
          <m:e>
            <m:r>
              <m:rPr>
                <m:sty m:val="p"/>
              </m:rPr>
              <w:rPr>
                <w:rFonts w:ascii="Cambria Math" w:hAnsi="Palatino Linotype"/>
                <w:sz w:val="20"/>
                <w:szCs w:val="20"/>
              </w:rPr>
              <m:t>0</m:t>
            </m:r>
            <m:r>
              <m:rPr>
                <m:sty m:val="p"/>
              </m:rPr>
              <w:rPr>
                <w:rFonts w:ascii="Cambria Math" w:hAnsi="Palatino Linotype"/>
                <w:sz w:val="20"/>
                <w:szCs w:val="20"/>
              </w:rPr>
              <m:t>,</m:t>
            </m:r>
            <m:r>
              <m:rPr>
                <m:sty m:val="p"/>
              </m:rPr>
              <w:rPr>
                <w:rFonts w:ascii="Cambria Math" w:hAnsi="Palatino Linotype"/>
                <w:sz w:val="20"/>
                <w:szCs w:val="20"/>
              </w:rPr>
              <m:t>9221</m:t>
            </m:r>
            <m:sSub>
              <m:sSubPr>
                <m:ctrlPr>
                  <w:rPr>
                    <w:rFonts w:ascii="Cambria Math" w:hAnsi="Palatino Linotype"/>
                    <w:sz w:val="20"/>
                    <w:szCs w:val="20"/>
                  </w:rPr>
                </m:ctrlPr>
              </m:sSubPr>
              <m:e>
                <m:r>
                  <m:rPr>
                    <m:sty m:val="p"/>
                  </m:rPr>
                  <w:rPr>
                    <w:rFonts w:ascii="Cambria Math" w:hAnsi="Palatino Linotype"/>
                    <w:sz w:val="20"/>
                    <w:szCs w:val="20"/>
                  </w:rPr>
                  <m:t xml:space="preserve"> </m:t>
                </m:r>
                <m:r>
                  <m:rPr>
                    <m:sty m:val="p"/>
                  </m:rPr>
                  <w:rPr>
                    <w:rFonts w:ascii="Cambria Math" w:hAnsi="Palatino Linotype"/>
                    <w:sz w:val="20"/>
                    <w:szCs w:val="20"/>
                  </w:rPr>
                  <m:t>LNASET</m:t>
                </m:r>
              </m:e>
              <m:sub>
                <m:r>
                  <m:rPr>
                    <m:sty m:val="p"/>
                  </m:rPr>
                  <w:rPr>
                    <w:rFonts w:ascii="Cambria Math" w:hAnsi="Palatino Linotype"/>
                    <w:sz w:val="20"/>
                    <w:szCs w:val="20"/>
                  </w:rPr>
                  <m:t>it</m:t>
                </m:r>
              </m:sub>
            </m:sSub>
            <m:r>
              <m:rPr>
                <m:sty m:val="p"/>
              </m:rPr>
              <w:rPr>
                <w:rFonts w:ascii="Cambria Math" w:hAnsi="Palatino Linotype"/>
                <w:sz w:val="20"/>
                <w:szCs w:val="20"/>
              </w:rPr>
              <m:t>+</m:t>
            </m:r>
            <m:r>
              <m:rPr>
                <m:sty m:val="p"/>
              </m:rPr>
              <w:rPr>
                <w:rFonts w:ascii="Cambria Math" w:hAnsi="Palatino Linotype"/>
                <w:sz w:val="20"/>
                <w:szCs w:val="20"/>
              </w:rPr>
              <m:t>ε</m:t>
            </m:r>
          </m:e>
          <m:sub>
            <m:r>
              <m:rPr>
                <m:sty m:val="p"/>
              </m:rPr>
              <w:rPr>
                <w:rFonts w:ascii="Cambria Math" w:hAnsi="Palatino Linotype"/>
                <w:sz w:val="20"/>
                <w:szCs w:val="20"/>
              </w:rPr>
              <m:t>it</m:t>
            </m:r>
            <m:r>
              <m:rPr>
                <m:sty m:val="p"/>
              </m:rPr>
              <w:rPr>
                <w:rFonts w:ascii="Cambria Math" w:hAnsi="Palatino Linotype"/>
                <w:sz w:val="20"/>
                <w:szCs w:val="20"/>
              </w:rPr>
              <m:t xml:space="preserve">      </m:t>
            </m:r>
          </m:sub>
        </m:sSub>
      </m:oMath>
      <w:r>
        <w:rPr>
          <w:rFonts w:ascii="Palatino Linotype" w:hAnsi="Palatino Linotype"/>
          <w:sz w:val="20"/>
          <w:szCs w:val="20"/>
        </w:rPr>
        <w:t>............................................................................................................................................</w:t>
      </w:r>
      <w:r w:rsidR="00A94CB9">
        <w:rPr>
          <w:rFonts w:ascii="Palatino Linotype" w:hAnsi="Palatino Linotype"/>
          <w:sz w:val="20"/>
          <w:szCs w:val="20"/>
        </w:rPr>
        <w:t>..........................(3</w:t>
      </w:r>
      <w:r>
        <w:rPr>
          <w:rFonts w:ascii="Palatino Linotype" w:hAnsi="Palatino Linotype"/>
          <w:sz w:val="20"/>
          <w:szCs w:val="20"/>
        </w:rPr>
        <w:t>)</w:t>
      </w:r>
    </w:p>
    <w:p w:rsidR="00BF5D40" w:rsidRPr="00C06AFD" w:rsidRDefault="00BF5D40" w:rsidP="00BF5D40">
      <w:pPr>
        <w:pStyle w:val="ListParagraph"/>
        <w:numPr>
          <w:ilvl w:val="0"/>
          <w:numId w:val="9"/>
        </w:numPr>
        <w:ind w:left="426"/>
        <w:jc w:val="both"/>
        <w:rPr>
          <w:rFonts w:ascii="Palatino Linotype" w:hAnsi="Palatino Linotype"/>
          <w:sz w:val="20"/>
          <w:szCs w:val="20"/>
        </w:rPr>
      </w:pPr>
      <w:r w:rsidRPr="00C06AFD">
        <w:rPr>
          <w:rFonts w:ascii="Palatino Linotype" w:hAnsi="Palatino Linotype"/>
          <w:sz w:val="20"/>
          <w:szCs w:val="20"/>
        </w:rPr>
        <w:t>Constant value of -0.90266 means that if all variables are constant then the production value (GRDP) of MSME is equal to -0.90266.</w:t>
      </w:r>
    </w:p>
    <w:p w:rsidR="00BF5D40" w:rsidRPr="00C06AFD" w:rsidRDefault="00BF5D40" w:rsidP="00BF5D40">
      <w:pPr>
        <w:pStyle w:val="ListParagraph"/>
        <w:numPr>
          <w:ilvl w:val="0"/>
          <w:numId w:val="9"/>
        </w:numPr>
        <w:ind w:left="426"/>
        <w:jc w:val="both"/>
        <w:rPr>
          <w:rFonts w:ascii="Palatino Linotype" w:hAnsi="Palatino Linotype"/>
          <w:sz w:val="20"/>
          <w:szCs w:val="20"/>
        </w:rPr>
      </w:pPr>
      <w:r w:rsidRPr="00C06AFD">
        <w:rPr>
          <w:rFonts w:ascii="Palatino Linotype" w:hAnsi="Palatino Linotype"/>
          <w:sz w:val="20"/>
          <w:szCs w:val="20"/>
        </w:rPr>
        <w:t>LNKRED variable coefficient value is 0.2248 means that if the variable LNJUS, LNTK and LNASET constant then every 1% increase in credit value then the value of MSMES production will experience an increase of 22.48%.</w:t>
      </w:r>
    </w:p>
    <w:p w:rsidR="00BF5D40" w:rsidRPr="00C06AFD" w:rsidRDefault="00BF5D40" w:rsidP="00BF5D40">
      <w:pPr>
        <w:pStyle w:val="ListParagraph"/>
        <w:numPr>
          <w:ilvl w:val="0"/>
          <w:numId w:val="9"/>
        </w:numPr>
        <w:ind w:left="426"/>
        <w:jc w:val="both"/>
        <w:rPr>
          <w:rFonts w:ascii="Palatino Linotype" w:hAnsi="Palatino Linotype"/>
          <w:sz w:val="20"/>
          <w:szCs w:val="20"/>
        </w:rPr>
      </w:pPr>
      <w:r w:rsidRPr="00C06AFD">
        <w:rPr>
          <w:rFonts w:ascii="Palatino Linotype" w:hAnsi="Palatino Linotype"/>
          <w:sz w:val="20"/>
          <w:szCs w:val="20"/>
        </w:rPr>
        <w:t>LNJUS variable coefficient value is 0.2716 means that if the LNKRED, LNTK and LNASET variables are constant then every 1% decrease in the value of the number of business then the value of MSMES production will increase by 27.16%.</w:t>
      </w:r>
    </w:p>
    <w:p w:rsidR="00BF5D40" w:rsidRPr="00C06AFD" w:rsidRDefault="00BF5D40" w:rsidP="00BF5D40">
      <w:pPr>
        <w:pStyle w:val="ListParagraph"/>
        <w:numPr>
          <w:ilvl w:val="0"/>
          <w:numId w:val="9"/>
        </w:numPr>
        <w:ind w:left="426"/>
        <w:jc w:val="both"/>
        <w:rPr>
          <w:rFonts w:ascii="Palatino Linotype" w:hAnsi="Palatino Linotype"/>
          <w:sz w:val="20"/>
          <w:szCs w:val="20"/>
        </w:rPr>
      </w:pPr>
      <w:r w:rsidRPr="00C06AFD">
        <w:rPr>
          <w:rFonts w:ascii="Palatino Linotype" w:hAnsi="Palatino Linotype"/>
          <w:sz w:val="20"/>
          <w:szCs w:val="20"/>
        </w:rPr>
        <w:t>LNTK variable coefficient value is 0.3425 means that if the variable LNKRED, LNJUS and LNASET constant then every 1% increase in the amount of labor then the value of MSMES production will experience an increase of 34.25%.</w:t>
      </w:r>
    </w:p>
    <w:p w:rsidR="00BF5D40" w:rsidRPr="00C06AFD" w:rsidRDefault="00BF5D40" w:rsidP="00BF5D40">
      <w:pPr>
        <w:pStyle w:val="ListParagraph"/>
        <w:numPr>
          <w:ilvl w:val="0"/>
          <w:numId w:val="9"/>
        </w:numPr>
        <w:ind w:left="426"/>
        <w:jc w:val="both"/>
        <w:rPr>
          <w:rFonts w:ascii="Palatino Linotype" w:hAnsi="Palatino Linotype"/>
          <w:sz w:val="20"/>
          <w:szCs w:val="20"/>
        </w:rPr>
      </w:pPr>
      <w:r w:rsidRPr="00C06AFD">
        <w:rPr>
          <w:rFonts w:ascii="Palatino Linotype" w:hAnsi="Palatino Linotype"/>
          <w:sz w:val="20"/>
          <w:szCs w:val="20"/>
        </w:rPr>
        <w:t>LNASET variable coefficient value is 0.9921 means that if the LNKRED, LNTK and LNJUS variables are constant then every 1% increase the value of total assets then the value of MSMES production will increase by 92.21%.</w:t>
      </w:r>
    </w:p>
    <w:p w:rsidR="00BF5D40" w:rsidRPr="00B757C1" w:rsidRDefault="00BF5D40" w:rsidP="00BF5D40">
      <w:pPr>
        <w:ind w:firstLine="450"/>
        <w:jc w:val="both"/>
        <w:rPr>
          <w:rFonts w:ascii="Palatino Linotype" w:hAnsi="Palatino Linotype"/>
          <w:sz w:val="20"/>
          <w:szCs w:val="20"/>
        </w:rPr>
      </w:pPr>
      <w:r w:rsidRPr="00B757C1">
        <w:rPr>
          <w:rFonts w:ascii="Palatino Linotype" w:hAnsi="Palatino Linotype"/>
          <w:sz w:val="20"/>
          <w:szCs w:val="20"/>
        </w:rPr>
        <w:t>To test the hypothesis is done three stages, namely:</w:t>
      </w:r>
    </w:p>
    <w:p w:rsidR="00BF5D40" w:rsidRPr="00B757C1" w:rsidRDefault="00BF5D40" w:rsidP="00BF5D40">
      <w:pPr>
        <w:ind w:left="360" w:hanging="360"/>
        <w:jc w:val="both"/>
        <w:rPr>
          <w:rFonts w:ascii="Palatino Linotype" w:hAnsi="Palatino Linotype"/>
          <w:sz w:val="20"/>
          <w:szCs w:val="20"/>
        </w:rPr>
      </w:pPr>
      <w:r w:rsidRPr="00B757C1">
        <w:rPr>
          <w:rFonts w:ascii="Palatino Linotype" w:hAnsi="Palatino Linotype"/>
          <w:sz w:val="20"/>
          <w:szCs w:val="20"/>
        </w:rPr>
        <w:t>a. Simultaneous Significance Test (F-test)</w:t>
      </w:r>
    </w:p>
    <w:p w:rsidR="00BF5D40" w:rsidRPr="00B757C1" w:rsidRDefault="00BF5D40" w:rsidP="00BF5D40">
      <w:pPr>
        <w:ind w:firstLine="284"/>
        <w:jc w:val="both"/>
        <w:rPr>
          <w:rFonts w:ascii="Palatino Linotype" w:hAnsi="Palatino Linotype"/>
          <w:sz w:val="20"/>
          <w:szCs w:val="20"/>
        </w:rPr>
      </w:pPr>
      <w:r w:rsidRPr="00B757C1">
        <w:rPr>
          <w:rFonts w:ascii="Palatino Linotype" w:hAnsi="Palatino Linotype"/>
          <w:sz w:val="20"/>
          <w:szCs w:val="20"/>
        </w:rPr>
        <w:t>Based on the results of multiple linear regression in the table above, it is known that the value of Fhitung is equal to 369,7412 and the value of Ftabel is 2.53 (at N1 = 4 and N2 = 61), so Fcount&gt; Ftable so that H0 is rejected, which means free variable Credit , Number of Business, Labor and Asset simultaneously have influence to GRDP of Processing Industry Sector, with significance value equal to 0,0000 &lt;.</w:t>
      </w:r>
    </w:p>
    <w:p w:rsidR="00BF5D40" w:rsidRPr="00B757C1" w:rsidRDefault="00BF5D40" w:rsidP="00BF5D40">
      <w:pPr>
        <w:ind w:left="360" w:hanging="360"/>
        <w:jc w:val="both"/>
        <w:rPr>
          <w:rFonts w:ascii="Palatino Linotype" w:hAnsi="Palatino Linotype"/>
          <w:sz w:val="20"/>
          <w:szCs w:val="20"/>
        </w:rPr>
      </w:pPr>
      <w:r w:rsidRPr="00B757C1">
        <w:rPr>
          <w:rFonts w:ascii="Palatino Linotype" w:hAnsi="Palatino Linotype"/>
          <w:sz w:val="20"/>
          <w:szCs w:val="20"/>
        </w:rPr>
        <w:t>b. Partial Significance Test (t-test)</w:t>
      </w:r>
    </w:p>
    <w:p w:rsidR="00BF5D40" w:rsidRPr="00C06AFD" w:rsidRDefault="00BF5D40" w:rsidP="00BF5D40">
      <w:pPr>
        <w:ind w:firstLine="284"/>
        <w:jc w:val="both"/>
        <w:rPr>
          <w:rFonts w:ascii="Palatino Linotype" w:hAnsi="Palatino Linotype"/>
          <w:sz w:val="20"/>
          <w:szCs w:val="20"/>
        </w:rPr>
      </w:pPr>
      <w:r w:rsidRPr="00B757C1">
        <w:rPr>
          <w:rFonts w:ascii="Palatino Linotype" w:hAnsi="Palatino Linotype"/>
          <w:sz w:val="20"/>
          <w:szCs w:val="20"/>
        </w:rPr>
        <w:t xml:space="preserve">The t test (t-test) is performed to determine whether the independent variables entered into the model have an individual (partial) effect on the dependent variable. Partial significance test is done </w:t>
      </w:r>
      <w:r w:rsidRPr="00B757C1">
        <w:rPr>
          <w:rFonts w:ascii="Palatino Linotype" w:hAnsi="Palatino Linotype"/>
          <w:sz w:val="20"/>
          <w:szCs w:val="20"/>
        </w:rPr>
        <w:lastRenderedPageBreak/>
        <w:t xml:space="preserve">by looking at the influence of individual independent variable to dependent variable that is influence each variable of Capital Expenditure, Investment and Labor to GRDP of Processing Industry Sector. The specified test criteria is if tcount&gt; ttable then H0 is rejected and if t </w:t>
      </w:r>
      <w:r>
        <w:rPr>
          <w:rFonts w:ascii="Palatino Linotype" w:hAnsi="Palatino Linotype"/>
          <w:sz w:val="20"/>
          <w:szCs w:val="20"/>
        </w:rPr>
        <w:t>&lt;ttable then H0 is accepted.</w:t>
      </w:r>
    </w:p>
    <w:p w:rsidR="00BF5D40" w:rsidRPr="00B757C1" w:rsidRDefault="00BF5D40" w:rsidP="00BF5D40">
      <w:pPr>
        <w:tabs>
          <w:tab w:val="left" w:pos="-142"/>
        </w:tabs>
        <w:ind w:firstLine="284"/>
        <w:jc w:val="both"/>
        <w:rPr>
          <w:rFonts w:ascii="Palatino Linotype" w:hAnsi="Palatino Linotype"/>
          <w:position w:val="-2"/>
          <w:sz w:val="20"/>
          <w:szCs w:val="20"/>
        </w:rPr>
      </w:pPr>
      <w:r w:rsidRPr="00B757C1">
        <w:rPr>
          <w:rFonts w:ascii="Palatino Linotype" w:hAnsi="Palatino Linotype"/>
          <w:position w:val="-2"/>
          <w:sz w:val="20"/>
          <w:szCs w:val="20"/>
        </w:rPr>
        <w:t>Based on the results of multiple linear regression in the table above obtained the following information:</w:t>
      </w:r>
    </w:p>
    <w:p w:rsidR="00BF5D40" w:rsidRPr="00C06AFD" w:rsidRDefault="00BF5D40" w:rsidP="00BF5D40">
      <w:pPr>
        <w:pStyle w:val="ListParagraph"/>
        <w:numPr>
          <w:ilvl w:val="0"/>
          <w:numId w:val="10"/>
        </w:numPr>
        <w:ind w:left="426"/>
        <w:jc w:val="both"/>
        <w:rPr>
          <w:rFonts w:ascii="Palatino Linotype" w:hAnsi="Palatino Linotype"/>
          <w:position w:val="-2"/>
          <w:sz w:val="20"/>
          <w:szCs w:val="20"/>
        </w:rPr>
      </w:pPr>
      <w:r w:rsidRPr="00C06AFD">
        <w:rPr>
          <w:rFonts w:ascii="Palatino Linotype" w:hAnsi="Palatino Linotype"/>
          <w:position w:val="-2"/>
          <w:sz w:val="20"/>
          <w:szCs w:val="20"/>
        </w:rPr>
        <w:t>Credit variable (LNKRED) is positive on t-count = 2.3532 and t-table = 2.132 so thitung&gt; ttable, H0 is rejected, which means that Credit variable (LNKRED) has a positive contribution or has a direct relationship with the production value of MSMES (LNGRDP). The probability value of 0.0219 &lt;means that individual Credit variables have a significant influence on the value of prosduksi (LNGRDP) MSMEs.</w:t>
      </w:r>
    </w:p>
    <w:p w:rsidR="00BF5D40" w:rsidRPr="00C06AFD" w:rsidRDefault="00BF5D40" w:rsidP="00BF5D40">
      <w:pPr>
        <w:pStyle w:val="ListParagraph"/>
        <w:numPr>
          <w:ilvl w:val="0"/>
          <w:numId w:val="10"/>
        </w:numPr>
        <w:ind w:left="426"/>
        <w:jc w:val="both"/>
        <w:rPr>
          <w:rFonts w:ascii="Palatino Linotype" w:hAnsi="Palatino Linotype"/>
          <w:position w:val="-2"/>
          <w:sz w:val="20"/>
          <w:szCs w:val="20"/>
        </w:rPr>
      </w:pPr>
      <w:r w:rsidRPr="00C06AFD">
        <w:rPr>
          <w:rFonts w:ascii="Palatino Linotype" w:hAnsi="Palatino Linotype"/>
          <w:position w:val="-2"/>
          <w:sz w:val="20"/>
          <w:szCs w:val="20"/>
        </w:rPr>
        <w:t>Variable Number of Business (LNJUS) is negative with t-count = I -0.7964 I and t-table = 2,132 so tcount &lt;ttable, H0 is accepted, which means that the variable Number of Enterprises (LNJUS) has no negative relationship with value production (LNGRDP) of MSMES. Probability value of 0.4289&gt; means that the variable Number of Business (LNJUS) individually does not have a significant influence on the production value (LNGRDP) SMEs.</w:t>
      </w:r>
    </w:p>
    <w:p w:rsidR="00BF5D40" w:rsidRPr="00C06AFD" w:rsidRDefault="00BF5D40" w:rsidP="00BF5D40">
      <w:pPr>
        <w:pStyle w:val="ListParagraph"/>
        <w:numPr>
          <w:ilvl w:val="0"/>
          <w:numId w:val="10"/>
        </w:numPr>
        <w:ind w:left="426"/>
        <w:jc w:val="both"/>
        <w:rPr>
          <w:rFonts w:ascii="Palatino Linotype" w:hAnsi="Palatino Linotype"/>
          <w:position w:val="-2"/>
          <w:sz w:val="20"/>
          <w:szCs w:val="20"/>
        </w:rPr>
      </w:pPr>
      <w:r w:rsidRPr="00C06AFD">
        <w:rPr>
          <w:rFonts w:ascii="Palatino Linotype" w:hAnsi="Palatino Linotype"/>
          <w:position w:val="-2"/>
          <w:sz w:val="20"/>
          <w:szCs w:val="20"/>
        </w:rPr>
        <w:t>Labor Variables (LNTK) is positive on t-count = 1.0707 and t-table = 2.132 so t count &lt;ttabel, H0 accept, which means that the variable Labor (LNTK) has a positive contribution or have a unidirectional relationship with the value production (LNGRDP) of MSME, but probability value of 0.2885&gt; means that the variable of Labor (LNTK) individually does not have significant influence to production value (LNGRDP) of MSMES.</w:t>
      </w:r>
    </w:p>
    <w:p w:rsidR="00BF5D40" w:rsidRPr="00C06AFD" w:rsidRDefault="00BF5D40" w:rsidP="00BF5D40">
      <w:pPr>
        <w:pStyle w:val="ListParagraph"/>
        <w:numPr>
          <w:ilvl w:val="0"/>
          <w:numId w:val="10"/>
        </w:numPr>
        <w:ind w:left="426"/>
        <w:jc w:val="both"/>
        <w:rPr>
          <w:rFonts w:ascii="Palatino Linotype" w:hAnsi="Palatino Linotype"/>
          <w:position w:val="-2"/>
          <w:sz w:val="20"/>
          <w:szCs w:val="20"/>
        </w:rPr>
      </w:pPr>
      <w:r w:rsidRPr="00C06AFD">
        <w:rPr>
          <w:rFonts w:ascii="Palatino Linotype" w:hAnsi="Palatino Linotype"/>
          <w:position w:val="-2"/>
          <w:sz w:val="20"/>
          <w:szCs w:val="20"/>
        </w:rPr>
        <w:t>Asset Variable (LNASET) is positive on t-count = 22,1390 and t-table = 2.132 so thitung&gt; ttable, H0 is rejected, which means that the ASET variable (LNASET) has a positive contribution or has a direct relationship with the production value LNGRDP) MSMES, probabilita value of 0.0000 &lt;means that the variable ASET (LNASET) individually has a significant influence on the production value (LNGRDP) SMEs.</w:t>
      </w:r>
    </w:p>
    <w:p w:rsidR="00BF5D40" w:rsidRPr="00C06AFD" w:rsidRDefault="00BF5D40" w:rsidP="00BF5D40">
      <w:pPr>
        <w:tabs>
          <w:tab w:val="left" w:pos="567"/>
        </w:tabs>
        <w:jc w:val="both"/>
        <w:rPr>
          <w:rFonts w:ascii="Palatino Linotype" w:hAnsi="Palatino Linotype"/>
          <w:position w:val="-2"/>
          <w:sz w:val="20"/>
          <w:szCs w:val="20"/>
        </w:rPr>
      </w:pPr>
      <w:r w:rsidRPr="00C06AFD">
        <w:rPr>
          <w:rFonts w:ascii="Palatino Linotype" w:hAnsi="Palatino Linotype"/>
          <w:position w:val="-2"/>
          <w:sz w:val="20"/>
          <w:szCs w:val="20"/>
        </w:rPr>
        <w:t>c. Coefficient of Determination (R-Squared / R</w:t>
      </w:r>
      <w:r w:rsidRPr="00C06AFD">
        <w:rPr>
          <w:rFonts w:ascii="Palatino Linotype" w:hAnsi="Palatino Linotype"/>
          <w:position w:val="-2"/>
          <w:sz w:val="20"/>
          <w:szCs w:val="20"/>
          <w:vertAlign w:val="superscript"/>
        </w:rPr>
        <w:t>2</w:t>
      </w:r>
      <w:r w:rsidRPr="00C06AFD">
        <w:rPr>
          <w:rFonts w:ascii="Palatino Linotype" w:hAnsi="Palatino Linotype"/>
          <w:position w:val="-2"/>
          <w:sz w:val="20"/>
          <w:szCs w:val="20"/>
        </w:rPr>
        <w:t>)</w:t>
      </w:r>
    </w:p>
    <w:p w:rsidR="00BF5D40" w:rsidRPr="00B757C1" w:rsidRDefault="00BF5D40" w:rsidP="00BF5D40">
      <w:pPr>
        <w:tabs>
          <w:tab w:val="left" w:pos="567"/>
        </w:tabs>
        <w:ind w:firstLine="284"/>
        <w:jc w:val="both"/>
        <w:rPr>
          <w:rFonts w:ascii="Palatino Linotype" w:hAnsi="Palatino Linotype"/>
          <w:position w:val="-2"/>
          <w:sz w:val="20"/>
          <w:szCs w:val="20"/>
        </w:rPr>
      </w:pPr>
      <w:r w:rsidRPr="00B757C1">
        <w:rPr>
          <w:rFonts w:ascii="Palatino Linotype" w:hAnsi="Palatino Linotype"/>
          <w:position w:val="-2"/>
          <w:sz w:val="20"/>
          <w:szCs w:val="20"/>
        </w:rPr>
        <w:t>The hypothesis in this research has been accepted that the independent variables of Credit, Number of Business, Manpower, and Asset, simultaneously have significant influence to production value (LNGRDP) of MSMES. Because the research variables consist of more than two variables, the feasibility can be seen from the R-squared and Adjusted R-squared values. The R-squared and Adjusted R-squared values ​​obtained from the data processing were 0.9604 and 0.9578.</w:t>
      </w:r>
    </w:p>
    <w:p w:rsidR="00BF5D40" w:rsidRPr="00B757C1" w:rsidRDefault="00BF5D40" w:rsidP="00BF5D40">
      <w:pPr>
        <w:tabs>
          <w:tab w:val="left" w:pos="567"/>
        </w:tabs>
        <w:ind w:firstLine="284"/>
        <w:jc w:val="both"/>
        <w:rPr>
          <w:rFonts w:ascii="Palatino Linotype" w:hAnsi="Palatino Linotype"/>
          <w:position w:val="-2"/>
          <w:sz w:val="20"/>
          <w:szCs w:val="20"/>
        </w:rPr>
      </w:pPr>
      <w:r w:rsidRPr="00B757C1">
        <w:rPr>
          <w:rFonts w:ascii="Palatino Linotype" w:hAnsi="Palatino Linotype"/>
          <w:position w:val="-2"/>
          <w:sz w:val="20"/>
          <w:szCs w:val="20"/>
        </w:rPr>
        <w:t>The value of R</w:t>
      </w:r>
      <w:r w:rsidRPr="00C06AFD">
        <w:rPr>
          <w:rFonts w:ascii="Palatino Linotype" w:hAnsi="Palatino Linotype"/>
          <w:position w:val="-2"/>
          <w:sz w:val="20"/>
          <w:szCs w:val="20"/>
          <w:vertAlign w:val="superscript"/>
        </w:rPr>
        <w:t>2</w:t>
      </w:r>
      <w:r w:rsidRPr="00B757C1">
        <w:rPr>
          <w:rFonts w:ascii="Palatino Linotype" w:hAnsi="Palatino Linotype"/>
          <w:position w:val="-2"/>
          <w:sz w:val="20"/>
          <w:szCs w:val="20"/>
        </w:rPr>
        <w:t xml:space="preserve"> of 0.9604 means that the relationship between dependent variable of production value (LNGRDP) of MSMES with independent variable of Credit, Number of Business, Labor, and Assets, is very strong (close to 100%) that is equal to 96,04%. The value of Adjusted R-squared of 0.9578 shows that 95,78% of production value variable (LNGRDP) of MSME can be explained by Credit variable, Number of Business, Labor and Asset, while the rest equal to 4,22% influenced by other variable which is not mentioned in this study.</w:t>
      </w:r>
    </w:p>
    <w:p w:rsidR="00BF5D40" w:rsidRPr="00B757C1" w:rsidRDefault="00BF5D40" w:rsidP="00BF5D40">
      <w:pPr>
        <w:spacing w:before="120"/>
        <w:ind w:left="284" w:hanging="284"/>
        <w:rPr>
          <w:rFonts w:ascii="Palatino Linotype" w:hAnsi="Palatino Linotype"/>
          <w:b/>
          <w:sz w:val="20"/>
          <w:szCs w:val="20"/>
        </w:rPr>
      </w:pPr>
      <w:r w:rsidRPr="00B757C1">
        <w:rPr>
          <w:rFonts w:ascii="Palatino Linotype" w:hAnsi="Palatino Linotype"/>
          <w:b/>
          <w:sz w:val="20"/>
          <w:szCs w:val="20"/>
        </w:rPr>
        <w:lastRenderedPageBreak/>
        <w:t>C. ANALYSIS OF MSMEs SUPERIOR SECTOR IN REGENCY / CITY IN JAMBI PROVINCE</w:t>
      </w:r>
    </w:p>
    <w:p w:rsidR="00BF5D40" w:rsidRPr="00B757C1" w:rsidRDefault="00BF5D40" w:rsidP="00BF5D40">
      <w:pPr>
        <w:spacing w:before="240"/>
        <w:rPr>
          <w:rFonts w:ascii="Palatino Linotype" w:hAnsi="Palatino Linotype"/>
          <w:b/>
          <w:sz w:val="20"/>
          <w:szCs w:val="20"/>
        </w:rPr>
      </w:pPr>
      <w:r w:rsidRPr="00B757C1">
        <w:rPr>
          <w:rFonts w:ascii="Palatino Linotype" w:hAnsi="Palatino Linotype"/>
          <w:b/>
          <w:noProof/>
          <w:sz w:val="20"/>
          <w:szCs w:val="20"/>
          <w:lang w:eastAsia="id-ID"/>
        </w:rPr>
        <w:pict>
          <v:rect id="_x0000_s1026" style="position:absolute;margin-left:-4.2pt;margin-top:26pt;width:464.75pt;height:368.15pt;z-index:251658240" strokecolor="white">
            <v:textbox style="mso-next-textbox:#_x0000_s1026">
              <w:txbxContent>
                <w:tbl>
                  <w:tblPr>
                    <w:tblW w:w="9325" w:type="dxa"/>
                    <w:tblLayout w:type="fixed"/>
                    <w:tblLook w:val="04A0"/>
                  </w:tblPr>
                  <w:tblGrid>
                    <w:gridCol w:w="543"/>
                    <w:gridCol w:w="1421"/>
                    <w:gridCol w:w="646"/>
                    <w:gridCol w:w="774"/>
                    <w:gridCol w:w="904"/>
                    <w:gridCol w:w="905"/>
                    <w:gridCol w:w="645"/>
                    <w:gridCol w:w="645"/>
                    <w:gridCol w:w="646"/>
                    <w:gridCol w:w="516"/>
                    <w:gridCol w:w="516"/>
                    <w:gridCol w:w="516"/>
                    <w:gridCol w:w="648"/>
                  </w:tblGrid>
                  <w:tr w:rsidR="00BF5D40" w:rsidRPr="005254F4" w:rsidTr="00C174D8">
                    <w:trPr>
                      <w:trHeight w:val="280"/>
                    </w:trPr>
                    <w:tc>
                      <w:tcPr>
                        <w:tcW w:w="543" w:type="dxa"/>
                        <w:vMerge w:val="restart"/>
                        <w:tcBorders>
                          <w:top w:val="single" w:sz="12" w:space="0" w:color="auto"/>
                        </w:tcBorders>
                        <w:shd w:val="clear" w:color="auto" w:fill="auto"/>
                        <w:vAlign w:val="center"/>
                        <w:hideMark/>
                      </w:tcPr>
                      <w:p w:rsidR="00BF5D40" w:rsidRPr="005254F4" w:rsidRDefault="00BF5D40" w:rsidP="0023091C">
                        <w:pPr>
                          <w:spacing w:after="0" w:line="240" w:lineRule="auto"/>
                          <w:ind w:left="-108" w:right="-108"/>
                          <w:jc w:val="center"/>
                          <w:rPr>
                            <w:rFonts w:ascii="Palatino Linotype" w:hAnsi="Palatino Linotype"/>
                            <w:b/>
                            <w:color w:val="000000"/>
                            <w:sz w:val="16"/>
                            <w:szCs w:val="20"/>
                          </w:rPr>
                        </w:pPr>
                        <w:r w:rsidRPr="005254F4">
                          <w:rPr>
                            <w:rFonts w:ascii="Palatino Linotype" w:hAnsi="Palatino Linotype"/>
                            <w:b/>
                            <w:color w:val="000000"/>
                            <w:sz w:val="16"/>
                            <w:szCs w:val="20"/>
                          </w:rPr>
                          <w:t>No.</w:t>
                        </w:r>
                      </w:p>
                    </w:tc>
                    <w:tc>
                      <w:tcPr>
                        <w:tcW w:w="1421" w:type="dxa"/>
                        <w:vMerge w:val="restart"/>
                        <w:tcBorders>
                          <w:top w:val="single" w:sz="12" w:space="0" w:color="auto"/>
                        </w:tcBorders>
                        <w:shd w:val="clear" w:color="auto" w:fill="auto"/>
                        <w:vAlign w:val="center"/>
                        <w:hideMark/>
                      </w:tcPr>
                      <w:p w:rsidR="00BF5D40" w:rsidRPr="005254F4" w:rsidRDefault="000B4D95" w:rsidP="0023091C">
                        <w:pPr>
                          <w:spacing w:after="0" w:line="240" w:lineRule="auto"/>
                          <w:jc w:val="center"/>
                          <w:rPr>
                            <w:rFonts w:ascii="Palatino Linotype" w:hAnsi="Palatino Linotype"/>
                            <w:b/>
                            <w:color w:val="000000"/>
                            <w:sz w:val="16"/>
                            <w:szCs w:val="20"/>
                          </w:rPr>
                        </w:pPr>
                        <w:r>
                          <w:rPr>
                            <w:rFonts w:ascii="Palatino Linotype" w:hAnsi="Palatino Linotype"/>
                            <w:b/>
                            <w:color w:val="000000"/>
                            <w:sz w:val="16"/>
                            <w:szCs w:val="20"/>
                          </w:rPr>
                          <w:t>Economic Sector</w:t>
                        </w:r>
                      </w:p>
                    </w:tc>
                    <w:tc>
                      <w:tcPr>
                        <w:tcW w:w="7358" w:type="dxa"/>
                        <w:gridSpan w:val="11"/>
                        <w:tcBorders>
                          <w:top w:val="single" w:sz="12" w:space="0" w:color="auto"/>
                          <w:bottom w:val="single" w:sz="12" w:space="0" w:color="auto"/>
                        </w:tcBorders>
                        <w:shd w:val="clear" w:color="auto" w:fill="auto"/>
                        <w:noWrap/>
                        <w:vAlign w:val="center"/>
                        <w:hideMark/>
                      </w:tcPr>
                      <w:p w:rsidR="00BF5D40" w:rsidRPr="005254F4" w:rsidRDefault="000B4D95" w:rsidP="0023091C">
                        <w:pPr>
                          <w:spacing w:after="0" w:line="240" w:lineRule="auto"/>
                          <w:jc w:val="center"/>
                          <w:rPr>
                            <w:rFonts w:ascii="Palatino Linotype" w:hAnsi="Palatino Linotype"/>
                            <w:b/>
                            <w:color w:val="000000"/>
                            <w:sz w:val="16"/>
                            <w:szCs w:val="20"/>
                          </w:rPr>
                        </w:pPr>
                        <w:r>
                          <w:rPr>
                            <w:rFonts w:ascii="Palatino Linotype" w:hAnsi="Palatino Linotype"/>
                            <w:b/>
                            <w:color w:val="000000"/>
                            <w:sz w:val="16"/>
                            <w:szCs w:val="20"/>
                          </w:rPr>
                          <w:t>Regency / City</w:t>
                        </w:r>
                      </w:p>
                    </w:tc>
                  </w:tr>
                  <w:tr w:rsidR="00C174D8" w:rsidRPr="005254F4" w:rsidTr="00C174D8">
                    <w:trPr>
                      <w:trHeight w:val="280"/>
                    </w:trPr>
                    <w:tc>
                      <w:tcPr>
                        <w:tcW w:w="543" w:type="dxa"/>
                        <w:vMerge/>
                        <w:tcBorders>
                          <w:bottom w:val="single" w:sz="12" w:space="0" w:color="auto"/>
                        </w:tcBorders>
                        <w:vAlign w:val="center"/>
                        <w:hideMark/>
                      </w:tcPr>
                      <w:p w:rsidR="00BF5D40" w:rsidRPr="005254F4" w:rsidRDefault="00BF5D40" w:rsidP="0023091C">
                        <w:pPr>
                          <w:spacing w:after="0" w:line="240" w:lineRule="auto"/>
                          <w:jc w:val="center"/>
                          <w:rPr>
                            <w:rFonts w:ascii="Palatino Linotype" w:hAnsi="Palatino Linotype"/>
                            <w:b/>
                            <w:color w:val="000000"/>
                            <w:sz w:val="16"/>
                            <w:szCs w:val="20"/>
                          </w:rPr>
                        </w:pPr>
                      </w:p>
                    </w:tc>
                    <w:tc>
                      <w:tcPr>
                        <w:tcW w:w="1421" w:type="dxa"/>
                        <w:vMerge/>
                        <w:tcBorders>
                          <w:bottom w:val="single" w:sz="12" w:space="0" w:color="auto"/>
                        </w:tcBorders>
                        <w:vAlign w:val="center"/>
                        <w:hideMark/>
                      </w:tcPr>
                      <w:p w:rsidR="00BF5D40" w:rsidRPr="005254F4" w:rsidRDefault="00BF5D40" w:rsidP="0023091C">
                        <w:pPr>
                          <w:spacing w:after="0" w:line="240" w:lineRule="auto"/>
                          <w:jc w:val="center"/>
                          <w:rPr>
                            <w:rFonts w:ascii="Palatino Linotype" w:hAnsi="Palatino Linotype"/>
                            <w:b/>
                            <w:color w:val="000000"/>
                            <w:sz w:val="16"/>
                            <w:szCs w:val="20"/>
                          </w:rPr>
                        </w:pPr>
                      </w:p>
                    </w:tc>
                    <w:tc>
                      <w:tcPr>
                        <w:tcW w:w="646" w:type="dxa"/>
                        <w:tcBorders>
                          <w:top w:val="single" w:sz="12" w:space="0" w:color="auto"/>
                          <w:bottom w:val="single" w:sz="12" w:space="0" w:color="auto"/>
                        </w:tcBorders>
                        <w:shd w:val="clear" w:color="auto" w:fill="auto"/>
                        <w:noWrap/>
                        <w:vAlign w:val="center"/>
                        <w:hideMark/>
                      </w:tcPr>
                      <w:p w:rsidR="00BF5D40" w:rsidRPr="005254F4" w:rsidRDefault="00BF5D40" w:rsidP="0023091C">
                        <w:pPr>
                          <w:spacing w:after="0" w:line="240" w:lineRule="auto"/>
                          <w:ind w:left="-108" w:right="-108"/>
                          <w:jc w:val="center"/>
                          <w:rPr>
                            <w:rFonts w:ascii="Palatino Linotype" w:hAnsi="Palatino Linotype"/>
                            <w:b/>
                            <w:color w:val="000000"/>
                            <w:sz w:val="16"/>
                            <w:szCs w:val="20"/>
                          </w:rPr>
                        </w:pPr>
                        <w:r w:rsidRPr="005254F4">
                          <w:rPr>
                            <w:rFonts w:ascii="Palatino Linotype" w:hAnsi="Palatino Linotype"/>
                            <w:b/>
                            <w:color w:val="000000"/>
                            <w:sz w:val="16"/>
                            <w:szCs w:val="20"/>
                          </w:rPr>
                          <w:t>Kerinci</w:t>
                        </w:r>
                      </w:p>
                    </w:tc>
                    <w:tc>
                      <w:tcPr>
                        <w:tcW w:w="774" w:type="dxa"/>
                        <w:tcBorders>
                          <w:top w:val="single" w:sz="12" w:space="0" w:color="auto"/>
                          <w:bottom w:val="single" w:sz="12" w:space="0" w:color="auto"/>
                        </w:tcBorders>
                        <w:shd w:val="clear" w:color="auto" w:fill="auto"/>
                        <w:noWrap/>
                        <w:vAlign w:val="center"/>
                        <w:hideMark/>
                      </w:tcPr>
                      <w:p w:rsidR="00BF5D40" w:rsidRPr="005254F4" w:rsidRDefault="00BF5D40" w:rsidP="0023091C">
                        <w:pPr>
                          <w:spacing w:after="0" w:line="240" w:lineRule="auto"/>
                          <w:ind w:left="-108" w:right="-108"/>
                          <w:jc w:val="center"/>
                          <w:rPr>
                            <w:rFonts w:ascii="Palatino Linotype" w:hAnsi="Palatino Linotype"/>
                            <w:b/>
                            <w:color w:val="000000"/>
                            <w:sz w:val="16"/>
                            <w:szCs w:val="20"/>
                          </w:rPr>
                        </w:pPr>
                        <w:r w:rsidRPr="005254F4">
                          <w:rPr>
                            <w:rFonts w:ascii="Palatino Linotype" w:hAnsi="Palatino Linotype"/>
                            <w:b/>
                            <w:color w:val="000000"/>
                            <w:sz w:val="16"/>
                            <w:szCs w:val="20"/>
                          </w:rPr>
                          <w:t>Merangin</w:t>
                        </w:r>
                      </w:p>
                    </w:tc>
                    <w:tc>
                      <w:tcPr>
                        <w:tcW w:w="904" w:type="dxa"/>
                        <w:tcBorders>
                          <w:top w:val="single" w:sz="12" w:space="0" w:color="auto"/>
                          <w:bottom w:val="single" w:sz="12" w:space="0" w:color="auto"/>
                        </w:tcBorders>
                        <w:shd w:val="clear" w:color="auto" w:fill="auto"/>
                        <w:noWrap/>
                        <w:vAlign w:val="center"/>
                        <w:hideMark/>
                      </w:tcPr>
                      <w:p w:rsidR="00BF5D40" w:rsidRPr="005254F4" w:rsidRDefault="00BF5D40" w:rsidP="0023091C">
                        <w:pPr>
                          <w:spacing w:after="0" w:line="240" w:lineRule="auto"/>
                          <w:ind w:left="-108" w:right="-108"/>
                          <w:jc w:val="center"/>
                          <w:rPr>
                            <w:rFonts w:ascii="Palatino Linotype" w:hAnsi="Palatino Linotype"/>
                            <w:b/>
                            <w:color w:val="000000"/>
                            <w:sz w:val="16"/>
                            <w:szCs w:val="20"/>
                          </w:rPr>
                        </w:pPr>
                        <w:r w:rsidRPr="005254F4">
                          <w:rPr>
                            <w:rFonts w:ascii="Palatino Linotype" w:hAnsi="Palatino Linotype"/>
                            <w:b/>
                            <w:color w:val="000000"/>
                            <w:sz w:val="16"/>
                            <w:szCs w:val="20"/>
                          </w:rPr>
                          <w:t>Sarolangun</w:t>
                        </w:r>
                      </w:p>
                    </w:tc>
                    <w:tc>
                      <w:tcPr>
                        <w:tcW w:w="905" w:type="dxa"/>
                        <w:tcBorders>
                          <w:top w:val="single" w:sz="12" w:space="0" w:color="auto"/>
                          <w:bottom w:val="single" w:sz="12" w:space="0" w:color="auto"/>
                        </w:tcBorders>
                        <w:shd w:val="clear" w:color="auto" w:fill="auto"/>
                        <w:noWrap/>
                        <w:vAlign w:val="center"/>
                        <w:hideMark/>
                      </w:tcPr>
                      <w:p w:rsidR="00BF5D40" w:rsidRPr="005254F4" w:rsidRDefault="00BF5D40" w:rsidP="0023091C">
                        <w:pPr>
                          <w:spacing w:after="0" w:line="240" w:lineRule="auto"/>
                          <w:ind w:left="-108" w:right="-108"/>
                          <w:jc w:val="center"/>
                          <w:rPr>
                            <w:rFonts w:ascii="Palatino Linotype" w:hAnsi="Palatino Linotype"/>
                            <w:b/>
                            <w:color w:val="000000"/>
                            <w:sz w:val="16"/>
                            <w:szCs w:val="20"/>
                          </w:rPr>
                        </w:pPr>
                        <w:r w:rsidRPr="005254F4">
                          <w:rPr>
                            <w:rFonts w:ascii="Palatino Linotype" w:hAnsi="Palatino Linotype"/>
                            <w:b/>
                            <w:color w:val="000000"/>
                            <w:sz w:val="16"/>
                            <w:szCs w:val="20"/>
                          </w:rPr>
                          <w:t>Batanghari</w:t>
                        </w:r>
                      </w:p>
                    </w:tc>
                    <w:tc>
                      <w:tcPr>
                        <w:tcW w:w="645" w:type="dxa"/>
                        <w:tcBorders>
                          <w:top w:val="single" w:sz="12" w:space="0" w:color="auto"/>
                          <w:bottom w:val="single" w:sz="12" w:space="0" w:color="auto"/>
                        </w:tcBorders>
                        <w:shd w:val="clear" w:color="auto" w:fill="auto"/>
                        <w:noWrap/>
                        <w:vAlign w:val="center"/>
                        <w:hideMark/>
                      </w:tcPr>
                      <w:p w:rsidR="00BF5D40" w:rsidRPr="005254F4" w:rsidRDefault="00BF5D40" w:rsidP="0023091C">
                        <w:pPr>
                          <w:spacing w:after="0" w:line="240" w:lineRule="auto"/>
                          <w:ind w:left="-108" w:right="-108"/>
                          <w:jc w:val="center"/>
                          <w:rPr>
                            <w:rFonts w:ascii="Palatino Linotype" w:hAnsi="Palatino Linotype"/>
                            <w:b/>
                            <w:color w:val="000000"/>
                            <w:sz w:val="16"/>
                            <w:szCs w:val="20"/>
                          </w:rPr>
                        </w:pPr>
                        <w:r w:rsidRPr="005254F4">
                          <w:rPr>
                            <w:rFonts w:ascii="Palatino Linotype" w:hAnsi="Palatino Linotype"/>
                            <w:b/>
                            <w:color w:val="000000"/>
                            <w:sz w:val="16"/>
                            <w:szCs w:val="20"/>
                          </w:rPr>
                          <w:t>Muaro Jambi</w:t>
                        </w:r>
                      </w:p>
                    </w:tc>
                    <w:tc>
                      <w:tcPr>
                        <w:tcW w:w="645" w:type="dxa"/>
                        <w:tcBorders>
                          <w:top w:val="single" w:sz="12" w:space="0" w:color="auto"/>
                          <w:bottom w:val="single" w:sz="12" w:space="0" w:color="auto"/>
                        </w:tcBorders>
                        <w:shd w:val="clear" w:color="auto" w:fill="auto"/>
                        <w:noWrap/>
                        <w:vAlign w:val="center"/>
                        <w:hideMark/>
                      </w:tcPr>
                      <w:p w:rsidR="00BF5D40" w:rsidRPr="005254F4" w:rsidRDefault="00BF5D40" w:rsidP="0023091C">
                        <w:pPr>
                          <w:spacing w:after="0" w:line="240" w:lineRule="auto"/>
                          <w:ind w:left="-108" w:right="-108"/>
                          <w:jc w:val="center"/>
                          <w:rPr>
                            <w:rFonts w:ascii="Palatino Linotype" w:hAnsi="Palatino Linotype"/>
                            <w:b/>
                            <w:color w:val="000000"/>
                            <w:sz w:val="16"/>
                            <w:szCs w:val="20"/>
                          </w:rPr>
                        </w:pPr>
                        <w:r w:rsidRPr="005254F4">
                          <w:rPr>
                            <w:rFonts w:ascii="Palatino Linotype" w:hAnsi="Palatino Linotype"/>
                            <w:b/>
                            <w:color w:val="000000"/>
                            <w:sz w:val="16"/>
                            <w:szCs w:val="20"/>
                          </w:rPr>
                          <w:t>Tanjab Timur</w:t>
                        </w:r>
                      </w:p>
                    </w:tc>
                    <w:tc>
                      <w:tcPr>
                        <w:tcW w:w="646" w:type="dxa"/>
                        <w:tcBorders>
                          <w:top w:val="single" w:sz="12" w:space="0" w:color="auto"/>
                          <w:bottom w:val="single" w:sz="12" w:space="0" w:color="auto"/>
                        </w:tcBorders>
                        <w:shd w:val="clear" w:color="auto" w:fill="auto"/>
                        <w:noWrap/>
                        <w:vAlign w:val="center"/>
                        <w:hideMark/>
                      </w:tcPr>
                      <w:p w:rsidR="00BF5D40" w:rsidRPr="005254F4" w:rsidRDefault="00BF5D40" w:rsidP="0023091C">
                        <w:pPr>
                          <w:spacing w:after="0" w:line="240" w:lineRule="auto"/>
                          <w:ind w:left="-108" w:right="-108"/>
                          <w:jc w:val="center"/>
                          <w:rPr>
                            <w:rFonts w:ascii="Palatino Linotype" w:hAnsi="Palatino Linotype"/>
                            <w:b/>
                            <w:color w:val="000000"/>
                            <w:sz w:val="16"/>
                            <w:szCs w:val="20"/>
                          </w:rPr>
                        </w:pPr>
                        <w:r w:rsidRPr="005254F4">
                          <w:rPr>
                            <w:rFonts w:ascii="Palatino Linotype" w:hAnsi="Palatino Linotype"/>
                            <w:b/>
                            <w:color w:val="000000"/>
                            <w:sz w:val="16"/>
                            <w:szCs w:val="20"/>
                          </w:rPr>
                          <w:t>Tanjab Barat</w:t>
                        </w:r>
                      </w:p>
                    </w:tc>
                    <w:tc>
                      <w:tcPr>
                        <w:tcW w:w="516" w:type="dxa"/>
                        <w:tcBorders>
                          <w:top w:val="single" w:sz="12" w:space="0" w:color="auto"/>
                          <w:bottom w:val="single" w:sz="12" w:space="0" w:color="auto"/>
                        </w:tcBorders>
                        <w:shd w:val="clear" w:color="auto" w:fill="auto"/>
                        <w:noWrap/>
                        <w:vAlign w:val="center"/>
                        <w:hideMark/>
                      </w:tcPr>
                      <w:p w:rsidR="00BF5D40" w:rsidRPr="005254F4" w:rsidRDefault="00BF5D40" w:rsidP="0023091C">
                        <w:pPr>
                          <w:spacing w:after="0" w:line="240" w:lineRule="auto"/>
                          <w:ind w:left="-108" w:right="-108"/>
                          <w:jc w:val="center"/>
                          <w:rPr>
                            <w:rFonts w:ascii="Palatino Linotype" w:hAnsi="Palatino Linotype"/>
                            <w:b/>
                            <w:color w:val="000000"/>
                            <w:sz w:val="16"/>
                            <w:szCs w:val="20"/>
                          </w:rPr>
                        </w:pPr>
                        <w:r w:rsidRPr="005254F4">
                          <w:rPr>
                            <w:rFonts w:ascii="Palatino Linotype" w:hAnsi="Palatino Linotype"/>
                            <w:b/>
                            <w:color w:val="000000"/>
                            <w:sz w:val="16"/>
                            <w:szCs w:val="20"/>
                          </w:rPr>
                          <w:t>Tebo</w:t>
                        </w:r>
                      </w:p>
                    </w:tc>
                    <w:tc>
                      <w:tcPr>
                        <w:tcW w:w="516" w:type="dxa"/>
                        <w:tcBorders>
                          <w:top w:val="single" w:sz="12" w:space="0" w:color="auto"/>
                          <w:bottom w:val="single" w:sz="12" w:space="0" w:color="auto"/>
                        </w:tcBorders>
                        <w:shd w:val="clear" w:color="auto" w:fill="auto"/>
                        <w:noWrap/>
                        <w:vAlign w:val="center"/>
                        <w:hideMark/>
                      </w:tcPr>
                      <w:p w:rsidR="00BF5D40" w:rsidRPr="005254F4" w:rsidRDefault="00BF5D40" w:rsidP="0023091C">
                        <w:pPr>
                          <w:spacing w:after="0" w:line="240" w:lineRule="auto"/>
                          <w:ind w:left="-108" w:right="-108"/>
                          <w:jc w:val="center"/>
                          <w:rPr>
                            <w:rFonts w:ascii="Palatino Linotype" w:hAnsi="Palatino Linotype"/>
                            <w:b/>
                            <w:color w:val="000000"/>
                            <w:sz w:val="16"/>
                            <w:szCs w:val="20"/>
                          </w:rPr>
                        </w:pPr>
                        <w:r w:rsidRPr="005254F4">
                          <w:rPr>
                            <w:rFonts w:ascii="Palatino Linotype" w:hAnsi="Palatino Linotype"/>
                            <w:b/>
                            <w:color w:val="000000"/>
                            <w:sz w:val="16"/>
                            <w:szCs w:val="20"/>
                          </w:rPr>
                          <w:t>Bungo</w:t>
                        </w:r>
                      </w:p>
                    </w:tc>
                    <w:tc>
                      <w:tcPr>
                        <w:tcW w:w="516" w:type="dxa"/>
                        <w:tcBorders>
                          <w:top w:val="single" w:sz="12" w:space="0" w:color="auto"/>
                          <w:bottom w:val="single" w:sz="12" w:space="0" w:color="auto"/>
                        </w:tcBorders>
                        <w:shd w:val="clear" w:color="auto" w:fill="auto"/>
                        <w:noWrap/>
                        <w:vAlign w:val="center"/>
                        <w:hideMark/>
                      </w:tcPr>
                      <w:p w:rsidR="00BF5D40" w:rsidRPr="005254F4" w:rsidRDefault="00BF5D40" w:rsidP="0023091C">
                        <w:pPr>
                          <w:spacing w:after="0" w:line="240" w:lineRule="auto"/>
                          <w:ind w:left="-108" w:right="-108"/>
                          <w:jc w:val="center"/>
                          <w:rPr>
                            <w:rFonts w:ascii="Palatino Linotype" w:hAnsi="Palatino Linotype"/>
                            <w:b/>
                            <w:color w:val="000000"/>
                            <w:sz w:val="16"/>
                            <w:szCs w:val="20"/>
                          </w:rPr>
                        </w:pPr>
                        <w:r w:rsidRPr="005254F4">
                          <w:rPr>
                            <w:rFonts w:ascii="Palatino Linotype" w:hAnsi="Palatino Linotype"/>
                            <w:b/>
                            <w:color w:val="000000"/>
                            <w:sz w:val="16"/>
                            <w:szCs w:val="20"/>
                          </w:rPr>
                          <w:t>Kota Jambi</w:t>
                        </w:r>
                      </w:p>
                    </w:tc>
                    <w:tc>
                      <w:tcPr>
                        <w:tcW w:w="648" w:type="dxa"/>
                        <w:tcBorders>
                          <w:top w:val="single" w:sz="12" w:space="0" w:color="auto"/>
                          <w:bottom w:val="single" w:sz="12" w:space="0" w:color="auto"/>
                        </w:tcBorders>
                        <w:shd w:val="clear" w:color="auto" w:fill="auto"/>
                        <w:noWrap/>
                        <w:vAlign w:val="center"/>
                        <w:hideMark/>
                      </w:tcPr>
                      <w:p w:rsidR="00BF5D40" w:rsidRPr="005254F4" w:rsidRDefault="00BF5D40" w:rsidP="0023091C">
                        <w:pPr>
                          <w:spacing w:after="0" w:line="240" w:lineRule="auto"/>
                          <w:ind w:left="-108" w:right="-108"/>
                          <w:jc w:val="center"/>
                          <w:rPr>
                            <w:rFonts w:ascii="Palatino Linotype" w:hAnsi="Palatino Linotype"/>
                            <w:b/>
                            <w:color w:val="000000"/>
                            <w:sz w:val="16"/>
                            <w:szCs w:val="20"/>
                          </w:rPr>
                        </w:pPr>
                        <w:r w:rsidRPr="005254F4">
                          <w:rPr>
                            <w:rFonts w:ascii="Palatino Linotype" w:hAnsi="Palatino Linotype"/>
                            <w:b/>
                            <w:color w:val="000000"/>
                            <w:sz w:val="16"/>
                            <w:szCs w:val="20"/>
                          </w:rPr>
                          <w:t>Sungai penuh</w:t>
                        </w:r>
                      </w:p>
                    </w:tc>
                  </w:tr>
                  <w:tr w:rsidR="00C174D8" w:rsidRPr="005254F4" w:rsidTr="00C174D8">
                    <w:trPr>
                      <w:trHeight w:val="393"/>
                    </w:trPr>
                    <w:tc>
                      <w:tcPr>
                        <w:tcW w:w="543" w:type="dxa"/>
                        <w:tcBorders>
                          <w:top w:val="single" w:sz="12" w:space="0" w:color="auto"/>
                        </w:tcBorders>
                        <w:shd w:val="clear" w:color="auto" w:fill="auto"/>
                        <w:noWrap/>
                        <w:vAlign w:val="center"/>
                        <w:hideMark/>
                      </w:tcPr>
                      <w:p w:rsidR="00BF5D40" w:rsidRPr="005254F4" w:rsidRDefault="00BF5D40" w:rsidP="0023091C">
                        <w:pPr>
                          <w:spacing w:after="0" w:line="240" w:lineRule="auto"/>
                          <w:jc w:val="center"/>
                          <w:rPr>
                            <w:rFonts w:ascii="Palatino Linotype" w:hAnsi="Palatino Linotype"/>
                            <w:color w:val="000000"/>
                            <w:sz w:val="16"/>
                            <w:szCs w:val="20"/>
                          </w:rPr>
                        </w:pPr>
                        <w:r w:rsidRPr="005254F4">
                          <w:rPr>
                            <w:rFonts w:ascii="Palatino Linotype" w:hAnsi="Palatino Linotype"/>
                            <w:color w:val="000000"/>
                            <w:sz w:val="16"/>
                            <w:szCs w:val="20"/>
                          </w:rPr>
                          <w:t>1</w:t>
                        </w:r>
                      </w:p>
                    </w:tc>
                    <w:tc>
                      <w:tcPr>
                        <w:tcW w:w="1421" w:type="dxa"/>
                        <w:tcBorders>
                          <w:top w:val="single" w:sz="12" w:space="0" w:color="auto"/>
                        </w:tcBorders>
                        <w:shd w:val="clear" w:color="auto" w:fill="auto"/>
                        <w:noWrap/>
                        <w:vAlign w:val="bottom"/>
                        <w:hideMark/>
                      </w:tcPr>
                      <w:p w:rsidR="00BF5D40" w:rsidRPr="005254F4" w:rsidRDefault="00C174D8" w:rsidP="0023091C">
                        <w:pPr>
                          <w:spacing w:after="0" w:line="240" w:lineRule="auto"/>
                          <w:rPr>
                            <w:rFonts w:ascii="Palatino Linotype" w:hAnsi="Palatino Linotype"/>
                            <w:color w:val="000000"/>
                            <w:sz w:val="16"/>
                            <w:szCs w:val="20"/>
                          </w:rPr>
                        </w:pPr>
                        <w:r>
                          <w:rPr>
                            <w:rFonts w:ascii="Palatino Linotype" w:hAnsi="Palatino Linotype"/>
                            <w:color w:val="000000"/>
                            <w:sz w:val="16"/>
                            <w:szCs w:val="20"/>
                          </w:rPr>
                          <w:t>Water, Severage, and Waste Management</w:t>
                        </w:r>
                      </w:p>
                    </w:tc>
                    <w:tc>
                      <w:tcPr>
                        <w:tcW w:w="646" w:type="dxa"/>
                        <w:tcBorders>
                          <w:top w:val="single" w:sz="12"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0,42</w:t>
                        </w:r>
                      </w:p>
                    </w:tc>
                    <w:tc>
                      <w:tcPr>
                        <w:tcW w:w="774" w:type="dxa"/>
                        <w:tcBorders>
                          <w:top w:val="single" w:sz="12"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0,74</w:t>
                        </w:r>
                      </w:p>
                    </w:tc>
                    <w:tc>
                      <w:tcPr>
                        <w:tcW w:w="904" w:type="dxa"/>
                        <w:tcBorders>
                          <w:top w:val="single" w:sz="12"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3,62</w:t>
                        </w:r>
                      </w:p>
                    </w:tc>
                    <w:tc>
                      <w:tcPr>
                        <w:tcW w:w="905" w:type="dxa"/>
                        <w:tcBorders>
                          <w:top w:val="single" w:sz="12"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0,92</w:t>
                        </w:r>
                      </w:p>
                    </w:tc>
                    <w:tc>
                      <w:tcPr>
                        <w:tcW w:w="645" w:type="dxa"/>
                        <w:tcBorders>
                          <w:top w:val="single" w:sz="12"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0,55</w:t>
                        </w:r>
                      </w:p>
                    </w:tc>
                    <w:tc>
                      <w:tcPr>
                        <w:tcW w:w="645" w:type="dxa"/>
                        <w:tcBorders>
                          <w:top w:val="single" w:sz="12"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0,76</w:t>
                        </w:r>
                      </w:p>
                    </w:tc>
                    <w:tc>
                      <w:tcPr>
                        <w:tcW w:w="646" w:type="dxa"/>
                        <w:tcBorders>
                          <w:top w:val="single" w:sz="12"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0,51</w:t>
                        </w:r>
                      </w:p>
                    </w:tc>
                    <w:tc>
                      <w:tcPr>
                        <w:tcW w:w="516" w:type="dxa"/>
                        <w:tcBorders>
                          <w:top w:val="single" w:sz="12"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1,22</w:t>
                        </w:r>
                      </w:p>
                    </w:tc>
                    <w:tc>
                      <w:tcPr>
                        <w:tcW w:w="516" w:type="dxa"/>
                        <w:tcBorders>
                          <w:top w:val="single" w:sz="12"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1,91</w:t>
                        </w:r>
                      </w:p>
                    </w:tc>
                    <w:tc>
                      <w:tcPr>
                        <w:tcW w:w="516" w:type="dxa"/>
                        <w:tcBorders>
                          <w:top w:val="single" w:sz="12"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0,57</w:t>
                        </w:r>
                      </w:p>
                    </w:tc>
                    <w:tc>
                      <w:tcPr>
                        <w:tcW w:w="648" w:type="dxa"/>
                        <w:tcBorders>
                          <w:top w:val="single" w:sz="12"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0,64</w:t>
                        </w:r>
                      </w:p>
                    </w:tc>
                  </w:tr>
                  <w:tr w:rsidR="00C174D8" w:rsidRPr="005254F4" w:rsidTr="00C174D8">
                    <w:trPr>
                      <w:trHeight w:val="250"/>
                    </w:trPr>
                    <w:tc>
                      <w:tcPr>
                        <w:tcW w:w="543" w:type="dxa"/>
                        <w:shd w:val="clear" w:color="auto" w:fill="auto"/>
                        <w:noWrap/>
                        <w:vAlign w:val="center"/>
                        <w:hideMark/>
                      </w:tcPr>
                      <w:p w:rsidR="00BF5D40" w:rsidRPr="005254F4" w:rsidRDefault="00BF5D40" w:rsidP="0023091C">
                        <w:pPr>
                          <w:spacing w:after="0" w:line="240" w:lineRule="auto"/>
                          <w:jc w:val="center"/>
                          <w:rPr>
                            <w:rFonts w:ascii="Palatino Linotype" w:hAnsi="Palatino Linotype"/>
                            <w:color w:val="000000"/>
                            <w:sz w:val="16"/>
                            <w:szCs w:val="20"/>
                          </w:rPr>
                        </w:pPr>
                        <w:r w:rsidRPr="005254F4">
                          <w:rPr>
                            <w:rFonts w:ascii="Palatino Linotype" w:hAnsi="Palatino Linotype"/>
                            <w:color w:val="000000"/>
                            <w:sz w:val="16"/>
                            <w:szCs w:val="20"/>
                          </w:rPr>
                          <w:t>2</w:t>
                        </w:r>
                      </w:p>
                    </w:tc>
                    <w:tc>
                      <w:tcPr>
                        <w:tcW w:w="1421" w:type="dxa"/>
                        <w:shd w:val="clear" w:color="auto" w:fill="auto"/>
                        <w:noWrap/>
                        <w:vAlign w:val="bottom"/>
                        <w:hideMark/>
                      </w:tcPr>
                      <w:p w:rsidR="00BF5D40" w:rsidRPr="005254F4" w:rsidRDefault="00C174D8" w:rsidP="0023091C">
                        <w:pPr>
                          <w:spacing w:after="0" w:line="240" w:lineRule="auto"/>
                          <w:rPr>
                            <w:rFonts w:ascii="Palatino Linotype" w:hAnsi="Palatino Linotype"/>
                            <w:color w:val="000000"/>
                            <w:sz w:val="16"/>
                            <w:szCs w:val="20"/>
                          </w:rPr>
                        </w:pPr>
                        <w:r>
                          <w:rPr>
                            <w:rFonts w:ascii="Palatino Linotype" w:hAnsi="Palatino Linotype"/>
                            <w:color w:val="000000"/>
                            <w:sz w:val="16"/>
                            <w:szCs w:val="20"/>
                          </w:rPr>
                          <w:t>Manufacturing</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1,08</w:t>
                        </w:r>
                      </w:p>
                    </w:tc>
                    <w:tc>
                      <w:tcPr>
                        <w:tcW w:w="77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0,86</w:t>
                        </w:r>
                      </w:p>
                    </w:tc>
                    <w:tc>
                      <w:tcPr>
                        <w:tcW w:w="90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0,67</w:t>
                        </w:r>
                      </w:p>
                    </w:tc>
                    <w:tc>
                      <w:tcPr>
                        <w:tcW w:w="90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1,11</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1,76</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1,19</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1,01</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0,82</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0,86</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0,89</w:t>
                        </w:r>
                      </w:p>
                    </w:tc>
                    <w:tc>
                      <w:tcPr>
                        <w:tcW w:w="648"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1,15</w:t>
                        </w:r>
                      </w:p>
                    </w:tc>
                  </w:tr>
                  <w:tr w:rsidR="00C174D8" w:rsidRPr="005254F4" w:rsidTr="00C174D8">
                    <w:trPr>
                      <w:trHeight w:val="140"/>
                    </w:trPr>
                    <w:tc>
                      <w:tcPr>
                        <w:tcW w:w="543" w:type="dxa"/>
                        <w:shd w:val="clear" w:color="auto" w:fill="auto"/>
                        <w:noWrap/>
                        <w:vAlign w:val="center"/>
                        <w:hideMark/>
                      </w:tcPr>
                      <w:p w:rsidR="00BF5D40" w:rsidRPr="005254F4" w:rsidRDefault="00BF5D40" w:rsidP="0023091C">
                        <w:pPr>
                          <w:spacing w:after="0" w:line="240" w:lineRule="auto"/>
                          <w:jc w:val="center"/>
                          <w:rPr>
                            <w:rFonts w:ascii="Palatino Linotype" w:hAnsi="Palatino Linotype"/>
                            <w:color w:val="000000"/>
                            <w:sz w:val="16"/>
                            <w:szCs w:val="20"/>
                          </w:rPr>
                        </w:pPr>
                        <w:r w:rsidRPr="005254F4">
                          <w:rPr>
                            <w:rFonts w:ascii="Palatino Linotype" w:hAnsi="Palatino Linotype"/>
                            <w:color w:val="000000"/>
                            <w:sz w:val="16"/>
                            <w:szCs w:val="20"/>
                          </w:rPr>
                          <w:t>3</w:t>
                        </w:r>
                      </w:p>
                    </w:tc>
                    <w:tc>
                      <w:tcPr>
                        <w:tcW w:w="1421" w:type="dxa"/>
                        <w:shd w:val="clear" w:color="auto" w:fill="auto"/>
                        <w:noWrap/>
                        <w:vAlign w:val="bottom"/>
                        <w:hideMark/>
                      </w:tcPr>
                      <w:p w:rsidR="00BF5D40" w:rsidRPr="005254F4" w:rsidRDefault="00C174D8" w:rsidP="0023091C">
                        <w:pPr>
                          <w:spacing w:after="0" w:line="240" w:lineRule="auto"/>
                          <w:rPr>
                            <w:rFonts w:ascii="Palatino Linotype" w:hAnsi="Palatino Linotype"/>
                            <w:color w:val="000000"/>
                            <w:sz w:val="16"/>
                            <w:szCs w:val="20"/>
                          </w:rPr>
                        </w:pPr>
                        <w:r>
                          <w:rPr>
                            <w:rFonts w:ascii="Palatino Linotype" w:hAnsi="Palatino Linotype"/>
                            <w:color w:val="000000"/>
                            <w:sz w:val="16"/>
                            <w:szCs w:val="20"/>
                          </w:rPr>
                          <w:t>Construction</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1,24</w:t>
                        </w:r>
                      </w:p>
                    </w:tc>
                    <w:tc>
                      <w:tcPr>
                        <w:tcW w:w="77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0,89</w:t>
                        </w:r>
                      </w:p>
                    </w:tc>
                    <w:tc>
                      <w:tcPr>
                        <w:tcW w:w="90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0,86</w:t>
                        </w:r>
                      </w:p>
                    </w:tc>
                    <w:tc>
                      <w:tcPr>
                        <w:tcW w:w="90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0,86</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0,77</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0,53</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0,81</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0,49</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0,90</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1,40</w:t>
                        </w:r>
                      </w:p>
                    </w:tc>
                    <w:tc>
                      <w:tcPr>
                        <w:tcW w:w="648"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1,45</w:t>
                        </w:r>
                      </w:p>
                    </w:tc>
                  </w:tr>
                  <w:tr w:rsidR="00C174D8" w:rsidRPr="005254F4" w:rsidTr="00C174D8">
                    <w:trPr>
                      <w:trHeight w:val="393"/>
                    </w:trPr>
                    <w:tc>
                      <w:tcPr>
                        <w:tcW w:w="543" w:type="dxa"/>
                        <w:shd w:val="clear" w:color="auto" w:fill="auto"/>
                        <w:noWrap/>
                        <w:vAlign w:val="center"/>
                        <w:hideMark/>
                      </w:tcPr>
                      <w:p w:rsidR="00BF5D40" w:rsidRPr="005254F4" w:rsidRDefault="00BF5D40" w:rsidP="0023091C">
                        <w:pPr>
                          <w:spacing w:after="0" w:line="240" w:lineRule="auto"/>
                          <w:jc w:val="center"/>
                          <w:rPr>
                            <w:rFonts w:ascii="Palatino Linotype" w:hAnsi="Palatino Linotype"/>
                            <w:color w:val="000000"/>
                            <w:sz w:val="16"/>
                            <w:szCs w:val="20"/>
                          </w:rPr>
                        </w:pPr>
                        <w:r w:rsidRPr="005254F4">
                          <w:rPr>
                            <w:rFonts w:ascii="Palatino Linotype" w:hAnsi="Palatino Linotype"/>
                            <w:color w:val="000000"/>
                            <w:sz w:val="16"/>
                            <w:szCs w:val="20"/>
                          </w:rPr>
                          <w:t>4</w:t>
                        </w:r>
                      </w:p>
                    </w:tc>
                    <w:tc>
                      <w:tcPr>
                        <w:tcW w:w="1421" w:type="dxa"/>
                        <w:shd w:val="clear" w:color="auto" w:fill="auto"/>
                        <w:noWrap/>
                        <w:vAlign w:val="bottom"/>
                        <w:hideMark/>
                      </w:tcPr>
                      <w:p w:rsidR="00BF5D40" w:rsidRPr="005254F4" w:rsidRDefault="00C174D8" w:rsidP="0023091C">
                        <w:pPr>
                          <w:spacing w:after="0" w:line="240" w:lineRule="auto"/>
                          <w:rPr>
                            <w:rFonts w:ascii="Palatino Linotype" w:hAnsi="Palatino Linotype"/>
                            <w:color w:val="000000"/>
                            <w:sz w:val="16"/>
                            <w:szCs w:val="20"/>
                          </w:rPr>
                        </w:pPr>
                        <w:r>
                          <w:rPr>
                            <w:rFonts w:ascii="Palatino Linotype" w:hAnsi="Palatino Linotype"/>
                            <w:color w:val="000000"/>
                            <w:sz w:val="16"/>
                            <w:szCs w:val="20"/>
                          </w:rPr>
                          <w:t>Trade, Hotel, and Restaurant</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1,11</w:t>
                        </w:r>
                      </w:p>
                    </w:tc>
                    <w:tc>
                      <w:tcPr>
                        <w:tcW w:w="77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1,17</w:t>
                        </w:r>
                      </w:p>
                    </w:tc>
                    <w:tc>
                      <w:tcPr>
                        <w:tcW w:w="90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0,99</w:t>
                        </w:r>
                      </w:p>
                    </w:tc>
                    <w:tc>
                      <w:tcPr>
                        <w:tcW w:w="90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1,01</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0,96</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1,15</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1,03</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1,19</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1,02</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0,83</w:t>
                        </w:r>
                      </w:p>
                    </w:tc>
                    <w:tc>
                      <w:tcPr>
                        <w:tcW w:w="648"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0,88</w:t>
                        </w:r>
                      </w:p>
                    </w:tc>
                  </w:tr>
                  <w:tr w:rsidR="00C174D8" w:rsidRPr="005254F4" w:rsidTr="00C174D8">
                    <w:trPr>
                      <w:trHeight w:val="393"/>
                    </w:trPr>
                    <w:tc>
                      <w:tcPr>
                        <w:tcW w:w="543" w:type="dxa"/>
                        <w:shd w:val="clear" w:color="auto" w:fill="auto"/>
                        <w:noWrap/>
                        <w:vAlign w:val="center"/>
                        <w:hideMark/>
                      </w:tcPr>
                      <w:p w:rsidR="00BF5D40" w:rsidRPr="005254F4" w:rsidRDefault="00BF5D40" w:rsidP="0023091C">
                        <w:pPr>
                          <w:spacing w:after="0" w:line="240" w:lineRule="auto"/>
                          <w:jc w:val="center"/>
                          <w:rPr>
                            <w:rFonts w:ascii="Palatino Linotype" w:hAnsi="Palatino Linotype"/>
                            <w:color w:val="000000"/>
                            <w:sz w:val="16"/>
                            <w:szCs w:val="20"/>
                          </w:rPr>
                        </w:pPr>
                        <w:r w:rsidRPr="005254F4">
                          <w:rPr>
                            <w:rFonts w:ascii="Palatino Linotype" w:hAnsi="Palatino Linotype"/>
                            <w:color w:val="000000"/>
                            <w:sz w:val="16"/>
                            <w:szCs w:val="20"/>
                          </w:rPr>
                          <w:t>5</w:t>
                        </w:r>
                      </w:p>
                    </w:tc>
                    <w:tc>
                      <w:tcPr>
                        <w:tcW w:w="1421" w:type="dxa"/>
                        <w:shd w:val="clear" w:color="auto" w:fill="auto"/>
                        <w:noWrap/>
                        <w:vAlign w:val="bottom"/>
                        <w:hideMark/>
                      </w:tcPr>
                      <w:p w:rsidR="00BF5D40" w:rsidRPr="005254F4" w:rsidRDefault="00C174D8" w:rsidP="0023091C">
                        <w:pPr>
                          <w:spacing w:after="0" w:line="240" w:lineRule="auto"/>
                          <w:rPr>
                            <w:rFonts w:ascii="Palatino Linotype" w:hAnsi="Palatino Linotype"/>
                            <w:color w:val="000000"/>
                            <w:sz w:val="16"/>
                            <w:szCs w:val="20"/>
                          </w:rPr>
                        </w:pPr>
                        <w:r>
                          <w:rPr>
                            <w:rFonts w:ascii="Palatino Linotype" w:hAnsi="Palatino Linotype"/>
                            <w:color w:val="000000"/>
                            <w:sz w:val="16"/>
                            <w:szCs w:val="20"/>
                          </w:rPr>
                          <w:t>Transportation and Storage</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1,04</w:t>
                        </w:r>
                      </w:p>
                    </w:tc>
                    <w:tc>
                      <w:tcPr>
                        <w:tcW w:w="77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0,47</w:t>
                        </w:r>
                      </w:p>
                    </w:tc>
                    <w:tc>
                      <w:tcPr>
                        <w:tcW w:w="90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0,73</w:t>
                        </w:r>
                      </w:p>
                    </w:tc>
                    <w:tc>
                      <w:tcPr>
                        <w:tcW w:w="90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0,55</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0,76</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0,62</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0,80</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0,48</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0,68</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1,73</w:t>
                        </w:r>
                      </w:p>
                    </w:tc>
                    <w:tc>
                      <w:tcPr>
                        <w:tcW w:w="648"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1,86</w:t>
                        </w:r>
                      </w:p>
                    </w:tc>
                  </w:tr>
                  <w:tr w:rsidR="00C174D8" w:rsidRPr="005254F4" w:rsidTr="00C174D8">
                    <w:trPr>
                      <w:trHeight w:val="393"/>
                    </w:trPr>
                    <w:tc>
                      <w:tcPr>
                        <w:tcW w:w="543" w:type="dxa"/>
                        <w:shd w:val="clear" w:color="auto" w:fill="auto"/>
                        <w:noWrap/>
                        <w:vAlign w:val="center"/>
                        <w:hideMark/>
                      </w:tcPr>
                      <w:p w:rsidR="00BF5D40" w:rsidRPr="005254F4" w:rsidRDefault="00BF5D40" w:rsidP="0023091C">
                        <w:pPr>
                          <w:spacing w:after="0" w:line="240" w:lineRule="auto"/>
                          <w:jc w:val="center"/>
                          <w:rPr>
                            <w:rFonts w:ascii="Palatino Linotype" w:hAnsi="Palatino Linotype"/>
                            <w:color w:val="000000"/>
                            <w:sz w:val="16"/>
                            <w:szCs w:val="20"/>
                          </w:rPr>
                        </w:pPr>
                        <w:r w:rsidRPr="005254F4">
                          <w:rPr>
                            <w:rFonts w:ascii="Palatino Linotype" w:hAnsi="Palatino Linotype"/>
                            <w:color w:val="000000"/>
                            <w:sz w:val="16"/>
                            <w:szCs w:val="20"/>
                          </w:rPr>
                          <w:t>6</w:t>
                        </w:r>
                      </w:p>
                    </w:tc>
                    <w:tc>
                      <w:tcPr>
                        <w:tcW w:w="1421" w:type="dxa"/>
                        <w:shd w:val="clear" w:color="auto" w:fill="auto"/>
                        <w:noWrap/>
                        <w:vAlign w:val="bottom"/>
                        <w:hideMark/>
                      </w:tcPr>
                      <w:p w:rsidR="00BF5D40" w:rsidRPr="005254F4" w:rsidRDefault="00C174D8" w:rsidP="0023091C">
                        <w:pPr>
                          <w:spacing w:after="0" w:line="240" w:lineRule="auto"/>
                          <w:rPr>
                            <w:rFonts w:ascii="Palatino Linotype" w:hAnsi="Palatino Linotype"/>
                            <w:color w:val="000000"/>
                            <w:sz w:val="16"/>
                            <w:szCs w:val="20"/>
                          </w:rPr>
                        </w:pPr>
                        <w:r>
                          <w:rPr>
                            <w:rFonts w:ascii="Palatino Linotype" w:hAnsi="Palatino Linotype"/>
                            <w:color w:val="000000"/>
                            <w:sz w:val="16"/>
                            <w:szCs w:val="20"/>
                          </w:rPr>
                          <w:t>Accomodation and Food Service Activities</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0,80</w:t>
                        </w:r>
                      </w:p>
                    </w:tc>
                    <w:tc>
                      <w:tcPr>
                        <w:tcW w:w="77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0,93</w:t>
                        </w:r>
                      </w:p>
                    </w:tc>
                    <w:tc>
                      <w:tcPr>
                        <w:tcW w:w="90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0,76</w:t>
                        </w:r>
                      </w:p>
                    </w:tc>
                    <w:tc>
                      <w:tcPr>
                        <w:tcW w:w="90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0,89</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0,88</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0,87</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1,11</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1,01</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1,03</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1,22</w:t>
                        </w:r>
                      </w:p>
                    </w:tc>
                    <w:tc>
                      <w:tcPr>
                        <w:tcW w:w="648"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0,84</w:t>
                        </w:r>
                      </w:p>
                    </w:tc>
                  </w:tr>
                  <w:tr w:rsidR="00C174D8" w:rsidRPr="005254F4" w:rsidTr="00C174D8">
                    <w:trPr>
                      <w:trHeight w:val="393"/>
                    </w:trPr>
                    <w:tc>
                      <w:tcPr>
                        <w:tcW w:w="543" w:type="dxa"/>
                        <w:shd w:val="clear" w:color="auto" w:fill="auto"/>
                        <w:noWrap/>
                        <w:vAlign w:val="center"/>
                        <w:hideMark/>
                      </w:tcPr>
                      <w:p w:rsidR="00BF5D40" w:rsidRPr="005254F4" w:rsidRDefault="00BF5D40" w:rsidP="0023091C">
                        <w:pPr>
                          <w:spacing w:after="0" w:line="240" w:lineRule="auto"/>
                          <w:jc w:val="center"/>
                          <w:rPr>
                            <w:rFonts w:ascii="Palatino Linotype" w:hAnsi="Palatino Linotype"/>
                            <w:color w:val="000000"/>
                            <w:sz w:val="16"/>
                            <w:szCs w:val="20"/>
                          </w:rPr>
                        </w:pPr>
                        <w:r w:rsidRPr="005254F4">
                          <w:rPr>
                            <w:rFonts w:ascii="Palatino Linotype" w:hAnsi="Palatino Linotype"/>
                            <w:color w:val="000000"/>
                            <w:sz w:val="16"/>
                            <w:szCs w:val="20"/>
                          </w:rPr>
                          <w:t>7</w:t>
                        </w:r>
                      </w:p>
                    </w:tc>
                    <w:tc>
                      <w:tcPr>
                        <w:tcW w:w="1421" w:type="dxa"/>
                        <w:shd w:val="clear" w:color="auto" w:fill="auto"/>
                        <w:noWrap/>
                        <w:vAlign w:val="bottom"/>
                        <w:hideMark/>
                      </w:tcPr>
                      <w:p w:rsidR="00BF5D40" w:rsidRPr="005254F4" w:rsidRDefault="00C174D8" w:rsidP="0023091C">
                        <w:pPr>
                          <w:spacing w:after="0" w:line="240" w:lineRule="auto"/>
                          <w:rPr>
                            <w:rFonts w:ascii="Palatino Linotype" w:hAnsi="Palatino Linotype"/>
                            <w:color w:val="000000"/>
                            <w:sz w:val="16"/>
                            <w:szCs w:val="20"/>
                          </w:rPr>
                        </w:pPr>
                        <w:r>
                          <w:rPr>
                            <w:rFonts w:ascii="Palatino Linotype" w:hAnsi="Palatino Linotype"/>
                            <w:color w:val="000000"/>
                            <w:sz w:val="16"/>
                            <w:szCs w:val="20"/>
                          </w:rPr>
                          <w:t>Information and Communication</w:t>
                        </w:r>
                        <w:r w:rsidR="00BF5D40" w:rsidRPr="005254F4">
                          <w:rPr>
                            <w:rFonts w:ascii="Palatino Linotype" w:hAnsi="Palatino Linotype"/>
                            <w:color w:val="000000"/>
                            <w:sz w:val="16"/>
                            <w:szCs w:val="20"/>
                          </w:rPr>
                          <w:t xml:space="preserve"> </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0,87</w:t>
                        </w:r>
                      </w:p>
                    </w:tc>
                    <w:tc>
                      <w:tcPr>
                        <w:tcW w:w="77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1,02</w:t>
                        </w:r>
                      </w:p>
                    </w:tc>
                    <w:tc>
                      <w:tcPr>
                        <w:tcW w:w="90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1,30</w:t>
                        </w:r>
                      </w:p>
                    </w:tc>
                    <w:tc>
                      <w:tcPr>
                        <w:tcW w:w="90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0,98</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1,05</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0,69</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1,33</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1,09</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0,92</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0,91</w:t>
                        </w:r>
                      </w:p>
                    </w:tc>
                    <w:tc>
                      <w:tcPr>
                        <w:tcW w:w="648"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0,96</w:t>
                        </w:r>
                      </w:p>
                    </w:tc>
                  </w:tr>
                  <w:tr w:rsidR="00C174D8" w:rsidRPr="005254F4" w:rsidTr="00C174D8">
                    <w:trPr>
                      <w:trHeight w:val="393"/>
                    </w:trPr>
                    <w:tc>
                      <w:tcPr>
                        <w:tcW w:w="543" w:type="dxa"/>
                        <w:shd w:val="clear" w:color="auto" w:fill="auto"/>
                        <w:noWrap/>
                        <w:vAlign w:val="center"/>
                        <w:hideMark/>
                      </w:tcPr>
                      <w:p w:rsidR="00BF5D40" w:rsidRPr="005254F4" w:rsidRDefault="00BF5D40" w:rsidP="0023091C">
                        <w:pPr>
                          <w:spacing w:after="0" w:line="240" w:lineRule="auto"/>
                          <w:jc w:val="center"/>
                          <w:rPr>
                            <w:rFonts w:ascii="Palatino Linotype" w:hAnsi="Palatino Linotype"/>
                            <w:color w:val="000000"/>
                            <w:sz w:val="16"/>
                            <w:szCs w:val="20"/>
                          </w:rPr>
                        </w:pPr>
                        <w:r w:rsidRPr="005254F4">
                          <w:rPr>
                            <w:rFonts w:ascii="Palatino Linotype" w:hAnsi="Palatino Linotype"/>
                            <w:color w:val="000000"/>
                            <w:sz w:val="16"/>
                            <w:szCs w:val="20"/>
                          </w:rPr>
                          <w:t>8</w:t>
                        </w:r>
                      </w:p>
                    </w:tc>
                    <w:tc>
                      <w:tcPr>
                        <w:tcW w:w="1421" w:type="dxa"/>
                        <w:shd w:val="clear" w:color="auto" w:fill="auto"/>
                        <w:noWrap/>
                        <w:vAlign w:val="bottom"/>
                        <w:hideMark/>
                      </w:tcPr>
                      <w:p w:rsidR="00BF5D40" w:rsidRPr="005254F4" w:rsidRDefault="00C174D8" w:rsidP="0023091C">
                        <w:pPr>
                          <w:spacing w:after="0" w:line="240" w:lineRule="auto"/>
                          <w:rPr>
                            <w:rFonts w:ascii="Palatino Linotype" w:hAnsi="Palatino Linotype"/>
                            <w:color w:val="000000"/>
                            <w:sz w:val="16"/>
                            <w:szCs w:val="20"/>
                          </w:rPr>
                        </w:pPr>
                        <w:r>
                          <w:rPr>
                            <w:rFonts w:ascii="Palatino Linotype" w:hAnsi="Palatino Linotype"/>
                            <w:color w:val="000000"/>
                            <w:sz w:val="16"/>
                            <w:szCs w:val="20"/>
                          </w:rPr>
                          <w:t>Financial and Insurance Activities</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1,08</w:t>
                        </w:r>
                      </w:p>
                    </w:tc>
                    <w:tc>
                      <w:tcPr>
                        <w:tcW w:w="77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0,77</w:t>
                        </w:r>
                      </w:p>
                    </w:tc>
                    <w:tc>
                      <w:tcPr>
                        <w:tcW w:w="90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0,72</w:t>
                        </w:r>
                      </w:p>
                    </w:tc>
                    <w:tc>
                      <w:tcPr>
                        <w:tcW w:w="90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0,93</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0,58</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0,63</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0,74</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0,60</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1,15</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1,42</w:t>
                        </w:r>
                      </w:p>
                    </w:tc>
                    <w:tc>
                      <w:tcPr>
                        <w:tcW w:w="648"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1,60</w:t>
                        </w:r>
                      </w:p>
                    </w:tc>
                  </w:tr>
                  <w:tr w:rsidR="00C174D8" w:rsidRPr="005254F4" w:rsidTr="00C174D8">
                    <w:trPr>
                      <w:trHeight w:val="232"/>
                    </w:trPr>
                    <w:tc>
                      <w:tcPr>
                        <w:tcW w:w="543" w:type="dxa"/>
                        <w:shd w:val="clear" w:color="auto" w:fill="auto"/>
                        <w:noWrap/>
                        <w:vAlign w:val="center"/>
                        <w:hideMark/>
                      </w:tcPr>
                      <w:p w:rsidR="00BF5D40" w:rsidRPr="005254F4" w:rsidRDefault="00BF5D40" w:rsidP="0023091C">
                        <w:pPr>
                          <w:spacing w:after="0" w:line="240" w:lineRule="auto"/>
                          <w:jc w:val="center"/>
                          <w:rPr>
                            <w:rFonts w:ascii="Palatino Linotype" w:hAnsi="Palatino Linotype"/>
                            <w:color w:val="000000"/>
                            <w:sz w:val="16"/>
                            <w:szCs w:val="20"/>
                          </w:rPr>
                        </w:pPr>
                        <w:r w:rsidRPr="005254F4">
                          <w:rPr>
                            <w:rFonts w:ascii="Palatino Linotype" w:hAnsi="Palatino Linotype"/>
                            <w:color w:val="000000"/>
                            <w:sz w:val="16"/>
                            <w:szCs w:val="20"/>
                          </w:rPr>
                          <w:t>9</w:t>
                        </w:r>
                      </w:p>
                    </w:tc>
                    <w:tc>
                      <w:tcPr>
                        <w:tcW w:w="1421" w:type="dxa"/>
                        <w:shd w:val="clear" w:color="auto" w:fill="auto"/>
                        <w:noWrap/>
                        <w:vAlign w:val="bottom"/>
                        <w:hideMark/>
                      </w:tcPr>
                      <w:p w:rsidR="00BF5D40" w:rsidRPr="005254F4" w:rsidRDefault="00BF5D40" w:rsidP="00C174D8">
                        <w:pPr>
                          <w:spacing w:after="0" w:line="240" w:lineRule="auto"/>
                          <w:rPr>
                            <w:rFonts w:ascii="Palatino Linotype" w:hAnsi="Palatino Linotype"/>
                            <w:color w:val="000000"/>
                            <w:sz w:val="16"/>
                            <w:szCs w:val="20"/>
                          </w:rPr>
                        </w:pPr>
                        <w:r w:rsidRPr="005254F4">
                          <w:rPr>
                            <w:rFonts w:ascii="Palatino Linotype" w:hAnsi="Palatino Linotype"/>
                            <w:color w:val="000000"/>
                            <w:sz w:val="16"/>
                            <w:szCs w:val="20"/>
                          </w:rPr>
                          <w:t xml:space="preserve">Real </w:t>
                        </w:r>
                        <w:r w:rsidR="00C174D8">
                          <w:rPr>
                            <w:rFonts w:ascii="Palatino Linotype" w:hAnsi="Palatino Linotype"/>
                            <w:color w:val="000000"/>
                            <w:sz w:val="16"/>
                            <w:szCs w:val="20"/>
                          </w:rPr>
                          <w:t>Estate Activities</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0,11</w:t>
                        </w:r>
                      </w:p>
                    </w:tc>
                    <w:tc>
                      <w:tcPr>
                        <w:tcW w:w="77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0,58</w:t>
                        </w:r>
                      </w:p>
                    </w:tc>
                    <w:tc>
                      <w:tcPr>
                        <w:tcW w:w="90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0,91</w:t>
                        </w:r>
                      </w:p>
                    </w:tc>
                    <w:tc>
                      <w:tcPr>
                        <w:tcW w:w="90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0,91</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0,80</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0,28</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0,75</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0,51</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1,34</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1,79</w:t>
                        </w:r>
                      </w:p>
                    </w:tc>
                    <w:tc>
                      <w:tcPr>
                        <w:tcW w:w="648"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0,91</w:t>
                        </w:r>
                      </w:p>
                    </w:tc>
                  </w:tr>
                  <w:tr w:rsidR="00C174D8" w:rsidRPr="005254F4" w:rsidTr="00C174D8">
                    <w:trPr>
                      <w:trHeight w:val="249"/>
                    </w:trPr>
                    <w:tc>
                      <w:tcPr>
                        <w:tcW w:w="543" w:type="dxa"/>
                        <w:shd w:val="clear" w:color="auto" w:fill="auto"/>
                        <w:noWrap/>
                        <w:vAlign w:val="center"/>
                        <w:hideMark/>
                      </w:tcPr>
                      <w:p w:rsidR="00BF5D40" w:rsidRPr="005254F4" w:rsidRDefault="00BF5D40" w:rsidP="0023091C">
                        <w:pPr>
                          <w:spacing w:after="0" w:line="240" w:lineRule="auto"/>
                          <w:jc w:val="center"/>
                          <w:rPr>
                            <w:rFonts w:ascii="Palatino Linotype" w:hAnsi="Palatino Linotype"/>
                            <w:color w:val="000000"/>
                            <w:sz w:val="16"/>
                            <w:szCs w:val="20"/>
                          </w:rPr>
                        </w:pPr>
                        <w:r w:rsidRPr="005254F4">
                          <w:rPr>
                            <w:rFonts w:ascii="Palatino Linotype" w:hAnsi="Palatino Linotype"/>
                            <w:color w:val="000000"/>
                            <w:sz w:val="16"/>
                            <w:szCs w:val="20"/>
                          </w:rPr>
                          <w:t>10</w:t>
                        </w:r>
                      </w:p>
                    </w:tc>
                    <w:tc>
                      <w:tcPr>
                        <w:tcW w:w="1421" w:type="dxa"/>
                        <w:shd w:val="clear" w:color="auto" w:fill="auto"/>
                        <w:noWrap/>
                        <w:vAlign w:val="bottom"/>
                        <w:hideMark/>
                      </w:tcPr>
                      <w:p w:rsidR="00BF5D40" w:rsidRPr="005254F4" w:rsidRDefault="00C174D8" w:rsidP="0023091C">
                        <w:pPr>
                          <w:spacing w:after="0" w:line="240" w:lineRule="auto"/>
                          <w:rPr>
                            <w:rFonts w:ascii="Palatino Linotype" w:hAnsi="Palatino Linotype"/>
                            <w:color w:val="000000"/>
                            <w:sz w:val="16"/>
                            <w:szCs w:val="20"/>
                          </w:rPr>
                        </w:pPr>
                        <w:r>
                          <w:rPr>
                            <w:rFonts w:ascii="Palatino Linotype" w:hAnsi="Palatino Linotype"/>
                            <w:color w:val="000000"/>
                            <w:sz w:val="16"/>
                            <w:szCs w:val="20"/>
                          </w:rPr>
                          <w:t>Bank Services</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0,52</w:t>
                        </w:r>
                      </w:p>
                    </w:tc>
                    <w:tc>
                      <w:tcPr>
                        <w:tcW w:w="77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0,45</w:t>
                        </w:r>
                      </w:p>
                    </w:tc>
                    <w:tc>
                      <w:tcPr>
                        <w:tcW w:w="90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0,56</w:t>
                        </w:r>
                      </w:p>
                    </w:tc>
                    <w:tc>
                      <w:tcPr>
                        <w:tcW w:w="90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0,54</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0,63</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0,76</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0,53</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0,58</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0,51</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2,24</w:t>
                        </w:r>
                      </w:p>
                    </w:tc>
                    <w:tc>
                      <w:tcPr>
                        <w:tcW w:w="648"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0,64</w:t>
                        </w:r>
                      </w:p>
                    </w:tc>
                  </w:tr>
                  <w:tr w:rsidR="00C174D8" w:rsidRPr="005254F4" w:rsidTr="00C174D8">
                    <w:trPr>
                      <w:trHeight w:val="131"/>
                    </w:trPr>
                    <w:tc>
                      <w:tcPr>
                        <w:tcW w:w="543" w:type="dxa"/>
                        <w:shd w:val="clear" w:color="auto" w:fill="auto"/>
                        <w:noWrap/>
                        <w:vAlign w:val="center"/>
                        <w:hideMark/>
                      </w:tcPr>
                      <w:p w:rsidR="00BF5D40" w:rsidRPr="005254F4" w:rsidRDefault="00BF5D40" w:rsidP="0023091C">
                        <w:pPr>
                          <w:spacing w:after="0" w:line="240" w:lineRule="auto"/>
                          <w:jc w:val="center"/>
                          <w:rPr>
                            <w:rFonts w:ascii="Palatino Linotype" w:hAnsi="Palatino Linotype"/>
                            <w:color w:val="000000"/>
                            <w:sz w:val="16"/>
                            <w:szCs w:val="20"/>
                          </w:rPr>
                        </w:pPr>
                        <w:r w:rsidRPr="005254F4">
                          <w:rPr>
                            <w:rFonts w:ascii="Palatino Linotype" w:hAnsi="Palatino Linotype"/>
                            <w:color w:val="000000"/>
                            <w:sz w:val="16"/>
                            <w:szCs w:val="20"/>
                          </w:rPr>
                          <w:t>11</w:t>
                        </w:r>
                      </w:p>
                    </w:tc>
                    <w:tc>
                      <w:tcPr>
                        <w:tcW w:w="1421" w:type="dxa"/>
                        <w:shd w:val="clear" w:color="auto" w:fill="auto"/>
                        <w:noWrap/>
                        <w:vAlign w:val="bottom"/>
                        <w:hideMark/>
                      </w:tcPr>
                      <w:p w:rsidR="00BF5D40" w:rsidRPr="005254F4" w:rsidRDefault="00C174D8" w:rsidP="0023091C">
                        <w:pPr>
                          <w:spacing w:after="0" w:line="240" w:lineRule="auto"/>
                          <w:rPr>
                            <w:rFonts w:ascii="Palatino Linotype" w:hAnsi="Palatino Linotype"/>
                            <w:color w:val="000000"/>
                            <w:sz w:val="16"/>
                            <w:szCs w:val="20"/>
                          </w:rPr>
                        </w:pPr>
                        <w:r>
                          <w:rPr>
                            <w:rFonts w:ascii="Palatino Linotype" w:hAnsi="Palatino Linotype"/>
                            <w:color w:val="000000"/>
                            <w:sz w:val="16"/>
                            <w:szCs w:val="20"/>
                          </w:rPr>
                          <w:t>Education</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1,03</w:t>
                        </w:r>
                      </w:p>
                    </w:tc>
                    <w:tc>
                      <w:tcPr>
                        <w:tcW w:w="77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1,10</w:t>
                        </w:r>
                      </w:p>
                    </w:tc>
                    <w:tc>
                      <w:tcPr>
                        <w:tcW w:w="90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1,22</w:t>
                        </w:r>
                      </w:p>
                    </w:tc>
                    <w:tc>
                      <w:tcPr>
                        <w:tcW w:w="90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1,27</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1,06</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1,07</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1,21</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1,17</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0,99</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0,69</w:t>
                        </w:r>
                      </w:p>
                    </w:tc>
                    <w:tc>
                      <w:tcPr>
                        <w:tcW w:w="648"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0,92</w:t>
                        </w:r>
                      </w:p>
                    </w:tc>
                  </w:tr>
                  <w:tr w:rsidR="00C174D8" w:rsidRPr="005254F4" w:rsidTr="00C174D8">
                    <w:trPr>
                      <w:trHeight w:val="393"/>
                    </w:trPr>
                    <w:tc>
                      <w:tcPr>
                        <w:tcW w:w="543" w:type="dxa"/>
                        <w:shd w:val="clear" w:color="auto" w:fill="auto"/>
                        <w:noWrap/>
                        <w:vAlign w:val="center"/>
                        <w:hideMark/>
                      </w:tcPr>
                      <w:p w:rsidR="00BF5D40" w:rsidRPr="005254F4" w:rsidRDefault="00BF5D40" w:rsidP="0023091C">
                        <w:pPr>
                          <w:spacing w:after="0" w:line="240" w:lineRule="auto"/>
                          <w:jc w:val="center"/>
                          <w:rPr>
                            <w:rFonts w:ascii="Palatino Linotype" w:hAnsi="Palatino Linotype"/>
                            <w:color w:val="000000"/>
                            <w:sz w:val="16"/>
                            <w:szCs w:val="20"/>
                          </w:rPr>
                        </w:pPr>
                        <w:r w:rsidRPr="005254F4">
                          <w:rPr>
                            <w:rFonts w:ascii="Palatino Linotype" w:hAnsi="Palatino Linotype"/>
                            <w:color w:val="000000"/>
                            <w:sz w:val="16"/>
                            <w:szCs w:val="20"/>
                          </w:rPr>
                          <w:t>12</w:t>
                        </w:r>
                      </w:p>
                    </w:tc>
                    <w:tc>
                      <w:tcPr>
                        <w:tcW w:w="1421" w:type="dxa"/>
                        <w:shd w:val="clear" w:color="auto" w:fill="auto"/>
                        <w:noWrap/>
                        <w:vAlign w:val="bottom"/>
                        <w:hideMark/>
                      </w:tcPr>
                      <w:p w:rsidR="00BF5D40" w:rsidRPr="005254F4" w:rsidRDefault="00C174D8" w:rsidP="0023091C">
                        <w:pPr>
                          <w:spacing w:after="0" w:line="240" w:lineRule="auto"/>
                          <w:rPr>
                            <w:rFonts w:ascii="Palatino Linotype" w:hAnsi="Palatino Linotype"/>
                            <w:color w:val="000000"/>
                            <w:sz w:val="16"/>
                            <w:szCs w:val="20"/>
                          </w:rPr>
                        </w:pPr>
                        <w:r>
                          <w:rPr>
                            <w:rFonts w:ascii="Palatino Linotype" w:hAnsi="Palatino Linotype"/>
                            <w:color w:val="000000"/>
                            <w:sz w:val="16"/>
                            <w:szCs w:val="20"/>
                          </w:rPr>
                          <w:t>Human Health and Social Work Activities</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0,90</w:t>
                        </w:r>
                      </w:p>
                    </w:tc>
                    <w:tc>
                      <w:tcPr>
                        <w:tcW w:w="77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1,06</w:t>
                        </w:r>
                      </w:p>
                    </w:tc>
                    <w:tc>
                      <w:tcPr>
                        <w:tcW w:w="904"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0,98</w:t>
                        </w:r>
                      </w:p>
                    </w:tc>
                    <w:tc>
                      <w:tcPr>
                        <w:tcW w:w="90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1,09</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0,54</w:t>
                        </w:r>
                      </w:p>
                    </w:tc>
                    <w:tc>
                      <w:tcPr>
                        <w:tcW w:w="645"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1,00</w:t>
                        </w:r>
                      </w:p>
                    </w:tc>
                    <w:tc>
                      <w:tcPr>
                        <w:tcW w:w="64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0,99</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0,63</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1,14</w:t>
                        </w:r>
                      </w:p>
                    </w:tc>
                    <w:tc>
                      <w:tcPr>
                        <w:tcW w:w="516"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1,17</w:t>
                        </w:r>
                      </w:p>
                    </w:tc>
                    <w:tc>
                      <w:tcPr>
                        <w:tcW w:w="648" w:type="dxa"/>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1,28</w:t>
                        </w:r>
                      </w:p>
                    </w:tc>
                  </w:tr>
                  <w:tr w:rsidR="00C174D8" w:rsidRPr="005254F4" w:rsidTr="00C174D8">
                    <w:trPr>
                      <w:trHeight w:val="155"/>
                    </w:trPr>
                    <w:tc>
                      <w:tcPr>
                        <w:tcW w:w="543" w:type="dxa"/>
                        <w:tcBorders>
                          <w:bottom w:val="single" w:sz="4" w:space="0" w:color="auto"/>
                        </w:tcBorders>
                        <w:shd w:val="clear" w:color="auto" w:fill="auto"/>
                        <w:noWrap/>
                        <w:vAlign w:val="center"/>
                        <w:hideMark/>
                      </w:tcPr>
                      <w:p w:rsidR="00BF5D40" w:rsidRPr="005254F4" w:rsidRDefault="00BF5D40" w:rsidP="0023091C">
                        <w:pPr>
                          <w:spacing w:after="0" w:line="240" w:lineRule="auto"/>
                          <w:jc w:val="center"/>
                          <w:rPr>
                            <w:rFonts w:ascii="Palatino Linotype" w:hAnsi="Palatino Linotype"/>
                            <w:color w:val="000000"/>
                            <w:sz w:val="16"/>
                            <w:szCs w:val="20"/>
                          </w:rPr>
                        </w:pPr>
                        <w:r w:rsidRPr="005254F4">
                          <w:rPr>
                            <w:rFonts w:ascii="Palatino Linotype" w:hAnsi="Palatino Linotype"/>
                            <w:color w:val="000000"/>
                            <w:sz w:val="16"/>
                            <w:szCs w:val="20"/>
                          </w:rPr>
                          <w:t>13</w:t>
                        </w:r>
                      </w:p>
                    </w:tc>
                    <w:tc>
                      <w:tcPr>
                        <w:tcW w:w="1421" w:type="dxa"/>
                        <w:tcBorders>
                          <w:bottom w:val="single" w:sz="4" w:space="0" w:color="auto"/>
                        </w:tcBorders>
                        <w:shd w:val="clear" w:color="auto" w:fill="auto"/>
                        <w:noWrap/>
                        <w:vAlign w:val="bottom"/>
                        <w:hideMark/>
                      </w:tcPr>
                      <w:p w:rsidR="00BF5D40" w:rsidRPr="005254F4" w:rsidRDefault="00C174D8" w:rsidP="0023091C">
                        <w:pPr>
                          <w:spacing w:after="0" w:line="240" w:lineRule="auto"/>
                          <w:rPr>
                            <w:rFonts w:ascii="Palatino Linotype" w:hAnsi="Palatino Linotype"/>
                            <w:color w:val="000000"/>
                            <w:sz w:val="16"/>
                            <w:szCs w:val="20"/>
                          </w:rPr>
                        </w:pPr>
                        <w:r>
                          <w:rPr>
                            <w:rFonts w:ascii="Palatino Linotype" w:hAnsi="Palatino Linotype"/>
                            <w:color w:val="000000"/>
                            <w:sz w:val="16"/>
                            <w:szCs w:val="20"/>
                          </w:rPr>
                          <w:t>Other Services Activities</w:t>
                        </w:r>
                      </w:p>
                    </w:tc>
                    <w:tc>
                      <w:tcPr>
                        <w:tcW w:w="646" w:type="dxa"/>
                        <w:tcBorders>
                          <w:bottom w:val="single" w:sz="4"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0,82</w:t>
                        </w:r>
                      </w:p>
                    </w:tc>
                    <w:tc>
                      <w:tcPr>
                        <w:tcW w:w="774" w:type="dxa"/>
                        <w:tcBorders>
                          <w:bottom w:val="single" w:sz="4"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0,91</w:t>
                        </w:r>
                      </w:p>
                    </w:tc>
                    <w:tc>
                      <w:tcPr>
                        <w:tcW w:w="904" w:type="dxa"/>
                        <w:tcBorders>
                          <w:bottom w:val="single" w:sz="4"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0,99</w:t>
                        </w:r>
                      </w:p>
                    </w:tc>
                    <w:tc>
                      <w:tcPr>
                        <w:tcW w:w="905" w:type="dxa"/>
                        <w:tcBorders>
                          <w:bottom w:val="single" w:sz="4"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0,85</w:t>
                        </w:r>
                      </w:p>
                    </w:tc>
                    <w:tc>
                      <w:tcPr>
                        <w:tcW w:w="645" w:type="dxa"/>
                        <w:tcBorders>
                          <w:bottom w:val="single" w:sz="4"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1,06</w:t>
                        </w:r>
                      </w:p>
                    </w:tc>
                    <w:tc>
                      <w:tcPr>
                        <w:tcW w:w="645" w:type="dxa"/>
                        <w:tcBorders>
                          <w:bottom w:val="single" w:sz="4"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1,00</w:t>
                        </w:r>
                      </w:p>
                    </w:tc>
                    <w:tc>
                      <w:tcPr>
                        <w:tcW w:w="646" w:type="dxa"/>
                        <w:tcBorders>
                          <w:bottom w:val="single" w:sz="4"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0,77</w:t>
                        </w:r>
                      </w:p>
                    </w:tc>
                    <w:tc>
                      <w:tcPr>
                        <w:tcW w:w="516" w:type="dxa"/>
                        <w:tcBorders>
                          <w:bottom w:val="single" w:sz="4"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0,89</w:t>
                        </w:r>
                      </w:p>
                    </w:tc>
                    <w:tc>
                      <w:tcPr>
                        <w:tcW w:w="516" w:type="dxa"/>
                        <w:tcBorders>
                          <w:bottom w:val="single" w:sz="4"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0,91</w:t>
                        </w:r>
                      </w:p>
                    </w:tc>
                    <w:tc>
                      <w:tcPr>
                        <w:tcW w:w="516" w:type="dxa"/>
                        <w:tcBorders>
                          <w:bottom w:val="single" w:sz="4"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1,24</w:t>
                        </w:r>
                      </w:p>
                    </w:tc>
                    <w:tc>
                      <w:tcPr>
                        <w:tcW w:w="648" w:type="dxa"/>
                        <w:tcBorders>
                          <w:bottom w:val="single" w:sz="4" w:space="0" w:color="auto"/>
                        </w:tcBorders>
                        <w:shd w:val="clear" w:color="auto" w:fill="auto"/>
                        <w:noWrap/>
                        <w:vAlign w:val="bottom"/>
                        <w:hideMark/>
                      </w:tcPr>
                      <w:p w:rsidR="00BF5D40" w:rsidRPr="005254F4" w:rsidRDefault="00BF5D40" w:rsidP="0023091C">
                        <w:pPr>
                          <w:spacing w:after="0" w:line="240" w:lineRule="auto"/>
                          <w:jc w:val="right"/>
                          <w:rPr>
                            <w:rFonts w:ascii="Palatino Linotype" w:hAnsi="Palatino Linotype"/>
                            <w:color w:val="000000"/>
                            <w:sz w:val="16"/>
                            <w:szCs w:val="20"/>
                          </w:rPr>
                        </w:pPr>
                        <w:r w:rsidRPr="005254F4">
                          <w:rPr>
                            <w:rFonts w:ascii="Palatino Linotype" w:hAnsi="Palatino Linotype"/>
                            <w:color w:val="000000"/>
                            <w:sz w:val="16"/>
                            <w:szCs w:val="20"/>
                          </w:rPr>
                          <w:t>1,03</w:t>
                        </w:r>
                      </w:p>
                    </w:tc>
                  </w:tr>
                </w:tbl>
                <w:p w:rsidR="00BF5D40" w:rsidRPr="009D6D0F" w:rsidRDefault="00BF5D40" w:rsidP="00BF5D40">
                  <w:pPr>
                    <w:rPr>
                      <w:rFonts w:ascii="Palatino Linotype" w:hAnsi="Palatino Linotype"/>
                      <w:sz w:val="20"/>
                      <w:szCs w:val="20"/>
                    </w:rPr>
                  </w:pPr>
                  <w:r w:rsidRPr="009D6D0F">
                    <w:rPr>
                      <w:rFonts w:ascii="Palatino Linotype" w:hAnsi="Palatino Linotype"/>
                      <w:sz w:val="20"/>
                      <w:szCs w:val="20"/>
                    </w:rPr>
                    <w:t>Source: BPS Provinsi Jambi, 2017</w:t>
                  </w:r>
                </w:p>
                <w:p w:rsidR="00BF5D40" w:rsidRDefault="00BF5D40" w:rsidP="00BF5D40"/>
              </w:txbxContent>
            </v:textbox>
          </v:rect>
        </w:pict>
      </w:r>
      <w:r w:rsidRPr="00B757C1">
        <w:rPr>
          <w:rFonts w:ascii="Palatino Linotype" w:hAnsi="Palatino Linotype"/>
          <w:b/>
          <w:sz w:val="20"/>
          <w:szCs w:val="20"/>
        </w:rPr>
        <w:t>Tabel 4. LQ Analysis of Superior Sector</w:t>
      </w:r>
    </w:p>
    <w:p w:rsidR="00BF5D40" w:rsidRPr="00FC06D8" w:rsidRDefault="00BF5D40" w:rsidP="00BF5D40">
      <w:pPr>
        <w:spacing w:before="120"/>
        <w:ind w:left="720" w:hanging="720"/>
        <w:jc w:val="center"/>
        <w:rPr>
          <w:rFonts w:ascii="Palatino Linotype" w:hAnsi="Palatino Linotype"/>
          <w:b/>
        </w:rPr>
      </w:pPr>
    </w:p>
    <w:p w:rsidR="00BF5D40" w:rsidRPr="00FC06D8" w:rsidRDefault="00BF5D40" w:rsidP="00BF5D40">
      <w:pPr>
        <w:tabs>
          <w:tab w:val="left" w:pos="540"/>
        </w:tabs>
        <w:jc w:val="center"/>
        <w:rPr>
          <w:rFonts w:ascii="Palatino Linotype" w:hAnsi="Palatino Linotype"/>
          <w:b/>
          <w:iCs/>
        </w:rPr>
      </w:pPr>
    </w:p>
    <w:p w:rsidR="00BF5D40" w:rsidRPr="00FC06D8" w:rsidRDefault="00BF5D40" w:rsidP="00BF5D40">
      <w:pPr>
        <w:tabs>
          <w:tab w:val="left" w:pos="540"/>
        </w:tabs>
        <w:jc w:val="center"/>
        <w:rPr>
          <w:rFonts w:ascii="Palatino Linotype" w:hAnsi="Palatino Linotype"/>
          <w:b/>
          <w:iCs/>
        </w:rPr>
      </w:pPr>
    </w:p>
    <w:p w:rsidR="00BF5D40" w:rsidRPr="00FC06D8" w:rsidRDefault="00BF5D40" w:rsidP="00BF5D40">
      <w:pPr>
        <w:tabs>
          <w:tab w:val="left" w:pos="540"/>
        </w:tabs>
        <w:jc w:val="center"/>
        <w:rPr>
          <w:rFonts w:ascii="Palatino Linotype" w:hAnsi="Palatino Linotype"/>
          <w:b/>
          <w:iCs/>
        </w:rPr>
      </w:pPr>
    </w:p>
    <w:p w:rsidR="00BF5D40" w:rsidRPr="00FC06D8" w:rsidRDefault="00BF5D40" w:rsidP="00BF5D40">
      <w:pPr>
        <w:tabs>
          <w:tab w:val="left" w:pos="540"/>
        </w:tabs>
        <w:jc w:val="center"/>
        <w:rPr>
          <w:rFonts w:ascii="Palatino Linotype" w:hAnsi="Palatino Linotype"/>
          <w:b/>
          <w:iCs/>
        </w:rPr>
      </w:pPr>
    </w:p>
    <w:p w:rsidR="00BF5D40" w:rsidRPr="00FC06D8" w:rsidRDefault="00BF5D40" w:rsidP="00BF5D40">
      <w:pPr>
        <w:tabs>
          <w:tab w:val="left" w:pos="540"/>
        </w:tabs>
        <w:jc w:val="center"/>
        <w:rPr>
          <w:rFonts w:ascii="Palatino Linotype" w:hAnsi="Palatino Linotype"/>
          <w:b/>
          <w:iCs/>
        </w:rPr>
      </w:pPr>
    </w:p>
    <w:p w:rsidR="00BF5D40" w:rsidRPr="00FC06D8" w:rsidRDefault="00BF5D40" w:rsidP="00BF5D40">
      <w:pPr>
        <w:tabs>
          <w:tab w:val="left" w:pos="540"/>
        </w:tabs>
        <w:jc w:val="center"/>
        <w:rPr>
          <w:rFonts w:ascii="Palatino Linotype" w:hAnsi="Palatino Linotype"/>
          <w:b/>
          <w:iCs/>
        </w:rPr>
      </w:pPr>
    </w:p>
    <w:p w:rsidR="00BF5D40" w:rsidRPr="00FC06D8" w:rsidRDefault="00BF5D40" w:rsidP="00BF5D40">
      <w:pPr>
        <w:tabs>
          <w:tab w:val="left" w:pos="540"/>
        </w:tabs>
        <w:jc w:val="center"/>
        <w:rPr>
          <w:rFonts w:ascii="Palatino Linotype" w:hAnsi="Palatino Linotype"/>
          <w:b/>
          <w:iCs/>
        </w:rPr>
      </w:pPr>
    </w:p>
    <w:p w:rsidR="00BF5D40" w:rsidRPr="00FC06D8" w:rsidRDefault="00BF5D40" w:rsidP="00BF5D40">
      <w:pPr>
        <w:tabs>
          <w:tab w:val="left" w:pos="540"/>
        </w:tabs>
        <w:jc w:val="center"/>
        <w:rPr>
          <w:rFonts w:ascii="Palatino Linotype" w:hAnsi="Palatino Linotype"/>
          <w:b/>
          <w:iCs/>
        </w:rPr>
      </w:pPr>
    </w:p>
    <w:p w:rsidR="00BF5D40" w:rsidRPr="00FC06D8" w:rsidRDefault="00BF5D40" w:rsidP="00BF5D40">
      <w:pPr>
        <w:tabs>
          <w:tab w:val="left" w:pos="540"/>
        </w:tabs>
        <w:jc w:val="center"/>
        <w:rPr>
          <w:rFonts w:ascii="Palatino Linotype" w:hAnsi="Palatino Linotype"/>
          <w:b/>
          <w:iCs/>
        </w:rPr>
      </w:pPr>
    </w:p>
    <w:p w:rsidR="00BF5D40" w:rsidRPr="00FC06D8" w:rsidRDefault="00BF5D40" w:rsidP="00BF5D40">
      <w:pPr>
        <w:tabs>
          <w:tab w:val="left" w:pos="540"/>
        </w:tabs>
        <w:jc w:val="center"/>
        <w:rPr>
          <w:rFonts w:ascii="Palatino Linotype" w:hAnsi="Palatino Linotype"/>
          <w:b/>
          <w:iCs/>
        </w:rPr>
      </w:pPr>
    </w:p>
    <w:p w:rsidR="00BF5D40" w:rsidRPr="00FC06D8" w:rsidRDefault="00BF5D40" w:rsidP="00BF5D40">
      <w:pPr>
        <w:tabs>
          <w:tab w:val="left" w:pos="540"/>
        </w:tabs>
        <w:jc w:val="center"/>
        <w:rPr>
          <w:rFonts w:ascii="Palatino Linotype" w:hAnsi="Palatino Linotype"/>
          <w:b/>
          <w:iCs/>
        </w:rPr>
      </w:pPr>
    </w:p>
    <w:p w:rsidR="00BF5D40" w:rsidRDefault="00BF5D40" w:rsidP="00BF5D40">
      <w:pPr>
        <w:rPr>
          <w:rFonts w:ascii="Palatino Linotype" w:hAnsi="Palatino Linotype"/>
          <w:sz w:val="20"/>
          <w:szCs w:val="20"/>
        </w:rPr>
      </w:pPr>
    </w:p>
    <w:p w:rsidR="00BF5D40" w:rsidRDefault="00BF5D40" w:rsidP="00BF5D40">
      <w:pPr>
        <w:spacing w:line="240" w:lineRule="auto"/>
        <w:ind w:left="810" w:hanging="903"/>
        <w:jc w:val="both"/>
        <w:rPr>
          <w:rFonts w:ascii="Palatino Linotype" w:hAnsi="Palatino Linotype"/>
          <w:b/>
          <w:sz w:val="20"/>
          <w:szCs w:val="20"/>
        </w:rPr>
      </w:pPr>
    </w:p>
    <w:p w:rsidR="00BF5D40" w:rsidRPr="009D6D0F" w:rsidRDefault="00BF5D40" w:rsidP="00BF5D40">
      <w:pPr>
        <w:ind w:left="810" w:hanging="903"/>
        <w:jc w:val="both"/>
        <w:rPr>
          <w:rFonts w:ascii="Palatino Linotype" w:hAnsi="Palatino Linotype"/>
          <w:b/>
          <w:sz w:val="20"/>
          <w:szCs w:val="20"/>
        </w:rPr>
      </w:pPr>
      <w:r w:rsidRPr="009D6D0F">
        <w:rPr>
          <w:rFonts w:ascii="Palatino Linotype" w:hAnsi="Palatino Linotype"/>
          <w:b/>
          <w:sz w:val="20"/>
          <w:szCs w:val="20"/>
        </w:rPr>
        <w:t>Tabel 5. Superior Sector Recap (LQ) Based on Manpower Absorption of Regency / City in Jambi Province Year 2016</w:t>
      </w:r>
    </w:p>
    <w:tbl>
      <w:tblPr>
        <w:tblW w:w="9781" w:type="dxa"/>
        <w:tblInd w:w="-176" w:type="dxa"/>
        <w:tblBorders>
          <w:top w:val="single" w:sz="4" w:space="0" w:color="auto"/>
          <w:bottom w:val="single" w:sz="4" w:space="0" w:color="auto"/>
        </w:tblBorders>
        <w:tblLayout w:type="fixed"/>
        <w:tblLook w:val="04A0"/>
      </w:tblPr>
      <w:tblGrid>
        <w:gridCol w:w="567"/>
        <w:gridCol w:w="1985"/>
        <w:gridCol w:w="709"/>
        <w:gridCol w:w="850"/>
        <w:gridCol w:w="992"/>
        <w:gridCol w:w="567"/>
        <w:gridCol w:w="567"/>
        <w:gridCol w:w="709"/>
        <w:gridCol w:w="708"/>
        <w:gridCol w:w="567"/>
        <w:gridCol w:w="426"/>
        <w:gridCol w:w="567"/>
        <w:gridCol w:w="567"/>
      </w:tblGrid>
      <w:tr w:rsidR="00BF5D40" w:rsidRPr="00A8696A" w:rsidTr="00A55508">
        <w:trPr>
          <w:trHeight w:val="257"/>
        </w:trPr>
        <w:tc>
          <w:tcPr>
            <w:tcW w:w="567" w:type="dxa"/>
            <w:vMerge w:val="restart"/>
            <w:tcBorders>
              <w:top w:val="single" w:sz="4" w:space="0" w:color="auto"/>
            </w:tcBorders>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p>
        </w:tc>
        <w:tc>
          <w:tcPr>
            <w:tcW w:w="1985" w:type="dxa"/>
            <w:vMerge w:val="restart"/>
            <w:tcBorders>
              <w:top w:val="single" w:sz="4" w:space="0" w:color="auto"/>
            </w:tcBorders>
            <w:shd w:val="clear" w:color="000000" w:fill="FFFFFF"/>
            <w:noWrap/>
            <w:vAlign w:val="center"/>
            <w:hideMark/>
          </w:tcPr>
          <w:p w:rsidR="00BF5D40" w:rsidRPr="009D6D0F" w:rsidRDefault="00BF5D40" w:rsidP="00A55508">
            <w:pPr>
              <w:spacing w:after="0" w:line="240" w:lineRule="auto"/>
              <w:jc w:val="center"/>
              <w:rPr>
                <w:rFonts w:ascii="Palatino Linotype" w:hAnsi="Palatino Linotype"/>
                <w:b/>
                <w:bCs/>
                <w:color w:val="000000"/>
                <w:sz w:val="16"/>
                <w:szCs w:val="16"/>
                <w:lang w:eastAsia="id-ID"/>
              </w:rPr>
            </w:pPr>
            <w:r>
              <w:rPr>
                <w:rFonts w:ascii="Palatino Linotype" w:hAnsi="Palatino Linotype"/>
                <w:b/>
                <w:bCs/>
                <w:color w:val="000000"/>
                <w:sz w:val="16"/>
                <w:szCs w:val="16"/>
                <w:lang w:eastAsia="id-ID"/>
              </w:rPr>
              <w:t>Industrial Origin</w:t>
            </w:r>
          </w:p>
        </w:tc>
        <w:tc>
          <w:tcPr>
            <w:tcW w:w="7229" w:type="dxa"/>
            <w:gridSpan w:val="11"/>
            <w:tcBorders>
              <w:top w:val="single" w:sz="4" w:space="0" w:color="auto"/>
              <w:bottom w:val="single" w:sz="4" w:space="0" w:color="auto"/>
            </w:tcBorders>
            <w:shd w:val="clear" w:color="000000" w:fill="FFFFFF"/>
            <w:noWrap/>
            <w:vAlign w:val="center"/>
            <w:hideMark/>
          </w:tcPr>
          <w:p w:rsidR="00BF5D40" w:rsidRPr="009D6D0F" w:rsidRDefault="00BF5D40" w:rsidP="00A55508">
            <w:pPr>
              <w:spacing w:after="0" w:line="240" w:lineRule="auto"/>
              <w:ind w:left="-108" w:right="-108"/>
              <w:jc w:val="center"/>
              <w:rPr>
                <w:rFonts w:ascii="Palatino Linotype" w:hAnsi="Palatino Linotype"/>
                <w:b/>
                <w:bCs/>
                <w:color w:val="000000"/>
                <w:sz w:val="16"/>
                <w:szCs w:val="16"/>
                <w:lang w:eastAsia="id-ID"/>
              </w:rPr>
            </w:pPr>
            <w:r>
              <w:rPr>
                <w:rFonts w:ascii="Palatino Linotype" w:hAnsi="Palatino Linotype"/>
                <w:b/>
                <w:bCs/>
                <w:color w:val="000000"/>
                <w:sz w:val="16"/>
                <w:szCs w:val="16"/>
                <w:lang w:eastAsia="id-ID"/>
              </w:rPr>
              <w:t>Regency / City</w:t>
            </w:r>
          </w:p>
        </w:tc>
      </w:tr>
      <w:tr w:rsidR="00BF5D40" w:rsidRPr="00A8696A" w:rsidTr="00A55508">
        <w:trPr>
          <w:trHeight w:val="485"/>
        </w:trPr>
        <w:tc>
          <w:tcPr>
            <w:tcW w:w="567" w:type="dxa"/>
            <w:vMerge/>
            <w:tcBorders>
              <w:bottom w:val="single" w:sz="4" w:space="0" w:color="auto"/>
            </w:tcBorders>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p>
        </w:tc>
        <w:tc>
          <w:tcPr>
            <w:tcW w:w="1985" w:type="dxa"/>
            <w:vMerge/>
            <w:tcBorders>
              <w:bottom w:val="single" w:sz="4" w:space="0" w:color="auto"/>
            </w:tcBorders>
            <w:shd w:val="clear" w:color="000000" w:fill="FFFFFF"/>
            <w:noWrap/>
            <w:vAlign w:val="center"/>
            <w:hideMark/>
          </w:tcPr>
          <w:p w:rsidR="00BF5D40" w:rsidRPr="009D6D0F" w:rsidRDefault="00BF5D40" w:rsidP="00A55508">
            <w:pPr>
              <w:spacing w:after="0" w:line="240" w:lineRule="auto"/>
              <w:jc w:val="center"/>
              <w:rPr>
                <w:rFonts w:ascii="Palatino Linotype" w:hAnsi="Palatino Linotype"/>
                <w:b/>
                <w:bCs/>
                <w:color w:val="000000"/>
                <w:sz w:val="16"/>
                <w:szCs w:val="16"/>
                <w:lang w:eastAsia="id-ID"/>
              </w:rPr>
            </w:pPr>
          </w:p>
        </w:tc>
        <w:tc>
          <w:tcPr>
            <w:tcW w:w="709" w:type="dxa"/>
            <w:tcBorders>
              <w:top w:val="single" w:sz="4" w:space="0" w:color="auto"/>
              <w:bottom w:val="single" w:sz="4" w:space="0" w:color="auto"/>
            </w:tcBorders>
            <w:shd w:val="clear" w:color="000000" w:fill="FFFFFF"/>
            <w:noWrap/>
            <w:vAlign w:val="center"/>
            <w:hideMark/>
          </w:tcPr>
          <w:p w:rsidR="00BF5D40" w:rsidRPr="009D6D0F" w:rsidRDefault="00BF5D40" w:rsidP="00A55508">
            <w:pPr>
              <w:spacing w:after="0" w:line="240" w:lineRule="auto"/>
              <w:ind w:left="-108" w:right="-108"/>
              <w:jc w:val="center"/>
              <w:rPr>
                <w:rFonts w:ascii="Palatino Linotype" w:hAnsi="Palatino Linotype"/>
                <w:b/>
                <w:bCs/>
                <w:color w:val="000000"/>
                <w:sz w:val="16"/>
                <w:szCs w:val="16"/>
                <w:lang w:eastAsia="id-ID"/>
              </w:rPr>
            </w:pPr>
            <w:r w:rsidRPr="009D6D0F">
              <w:rPr>
                <w:rFonts w:ascii="Palatino Linotype" w:hAnsi="Palatino Linotype"/>
                <w:b/>
                <w:bCs/>
                <w:color w:val="000000"/>
                <w:sz w:val="16"/>
                <w:szCs w:val="16"/>
                <w:lang w:eastAsia="id-ID"/>
              </w:rPr>
              <w:t>Kerinci</w:t>
            </w:r>
          </w:p>
        </w:tc>
        <w:tc>
          <w:tcPr>
            <w:tcW w:w="850" w:type="dxa"/>
            <w:tcBorders>
              <w:top w:val="single" w:sz="4" w:space="0" w:color="auto"/>
              <w:bottom w:val="single" w:sz="4" w:space="0" w:color="auto"/>
            </w:tcBorders>
            <w:shd w:val="clear" w:color="000000" w:fill="FFFFFF"/>
            <w:noWrap/>
            <w:vAlign w:val="center"/>
            <w:hideMark/>
          </w:tcPr>
          <w:p w:rsidR="00BF5D40" w:rsidRPr="009D6D0F" w:rsidRDefault="00BF5D40" w:rsidP="00A55508">
            <w:pPr>
              <w:spacing w:after="0" w:line="240" w:lineRule="auto"/>
              <w:ind w:left="-108" w:right="-108"/>
              <w:jc w:val="center"/>
              <w:rPr>
                <w:rFonts w:ascii="Palatino Linotype" w:hAnsi="Palatino Linotype"/>
                <w:b/>
                <w:bCs/>
                <w:color w:val="000000"/>
                <w:sz w:val="16"/>
                <w:szCs w:val="16"/>
                <w:lang w:eastAsia="id-ID"/>
              </w:rPr>
            </w:pPr>
            <w:r w:rsidRPr="009D6D0F">
              <w:rPr>
                <w:rFonts w:ascii="Palatino Linotype" w:hAnsi="Palatino Linotype"/>
                <w:b/>
                <w:bCs/>
                <w:color w:val="000000"/>
                <w:sz w:val="16"/>
                <w:szCs w:val="16"/>
                <w:lang w:eastAsia="id-ID"/>
              </w:rPr>
              <w:t>Merangin</w:t>
            </w:r>
          </w:p>
        </w:tc>
        <w:tc>
          <w:tcPr>
            <w:tcW w:w="992" w:type="dxa"/>
            <w:tcBorders>
              <w:top w:val="single" w:sz="4" w:space="0" w:color="auto"/>
              <w:bottom w:val="single" w:sz="4" w:space="0" w:color="auto"/>
            </w:tcBorders>
            <w:shd w:val="clear" w:color="000000" w:fill="FFFFFF"/>
            <w:noWrap/>
            <w:vAlign w:val="center"/>
            <w:hideMark/>
          </w:tcPr>
          <w:p w:rsidR="00BF5D40" w:rsidRPr="009D6D0F" w:rsidRDefault="00BF5D40" w:rsidP="00A55508">
            <w:pPr>
              <w:spacing w:after="0" w:line="240" w:lineRule="auto"/>
              <w:ind w:left="-108" w:right="-108"/>
              <w:jc w:val="center"/>
              <w:rPr>
                <w:rFonts w:ascii="Palatino Linotype" w:hAnsi="Palatino Linotype"/>
                <w:b/>
                <w:bCs/>
                <w:color w:val="000000"/>
                <w:sz w:val="16"/>
                <w:szCs w:val="16"/>
                <w:lang w:eastAsia="id-ID"/>
              </w:rPr>
            </w:pPr>
            <w:r w:rsidRPr="009D6D0F">
              <w:rPr>
                <w:rFonts w:ascii="Palatino Linotype" w:hAnsi="Palatino Linotype"/>
                <w:b/>
                <w:bCs/>
                <w:color w:val="000000"/>
                <w:sz w:val="16"/>
                <w:szCs w:val="16"/>
                <w:lang w:eastAsia="id-ID"/>
              </w:rPr>
              <w:t>Sarolangun</w:t>
            </w:r>
          </w:p>
        </w:tc>
        <w:tc>
          <w:tcPr>
            <w:tcW w:w="567" w:type="dxa"/>
            <w:tcBorders>
              <w:top w:val="single" w:sz="4" w:space="0" w:color="auto"/>
              <w:bottom w:val="single" w:sz="4" w:space="0" w:color="auto"/>
            </w:tcBorders>
            <w:shd w:val="clear" w:color="000000" w:fill="FFFFFF"/>
            <w:noWrap/>
            <w:vAlign w:val="center"/>
            <w:hideMark/>
          </w:tcPr>
          <w:p w:rsidR="00BF5D40" w:rsidRPr="009D6D0F" w:rsidRDefault="00BF5D40" w:rsidP="00A55508">
            <w:pPr>
              <w:spacing w:after="0" w:line="240" w:lineRule="auto"/>
              <w:ind w:left="-108" w:right="-108"/>
              <w:jc w:val="center"/>
              <w:rPr>
                <w:rFonts w:ascii="Palatino Linotype" w:hAnsi="Palatino Linotype"/>
                <w:b/>
                <w:bCs/>
                <w:color w:val="000000"/>
                <w:sz w:val="16"/>
                <w:szCs w:val="16"/>
                <w:lang w:eastAsia="id-ID"/>
              </w:rPr>
            </w:pPr>
            <w:r w:rsidRPr="009D6D0F">
              <w:rPr>
                <w:rFonts w:ascii="Palatino Linotype" w:hAnsi="Palatino Linotype"/>
                <w:b/>
                <w:bCs/>
                <w:color w:val="000000"/>
                <w:sz w:val="16"/>
                <w:szCs w:val="16"/>
                <w:lang w:eastAsia="id-ID"/>
              </w:rPr>
              <w:t>Batang Hari</w:t>
            </w:r>
          </w:p>
        </w:tc>
        <w:tc>
          <w:tcPr>
            <w:tcW w:w="567" w:type="dxa"/>
            <w:tcBorders>
              <w:top w:val="single" w:sz="4" w:space="0" w:color="auto"/>
              <w:bottom w:val="single" w:sz="4" w:space="0" w:color="auto"/>
            </w:tcBorders>
            <w:shd w:val="clear" w:color="000000" w:fill="FFFFFF"/>
            <w:noWrap/>
            <w:vAlign w:val="center"/>
            <w:hideMark/>
          </w:tcPr>
          <w:p w:rsidR="00BF5D40" w:rsidRPr="009D6D0F" w:rsidRDefault="00BF5D40" w:rsidP="00A55508">
            <w:pPr>
              <w:spacing w:after="0" w:line="240" w:lineRule="auto"/>
              <w:ind w:left="-108" w:right="-108"/>
              <w:jc w:val="center"/>
              <w:rPr>
                <w:rFonts w:ascii="Palatino Linotype" w:hAnsi="Palatino Linotype"/>
                <w:b/>
                <w:bCs/>
                <w:color w:val="000000"/>
                <w:sz w:val="16"/>
                <w:szCs w:val="16"/>
                <w:lang w:eastAsia="id-ID"/>
              </w:rPr>
            </w:pPr>
            <w:r w:rsidRPr="009D6D0F">
              <w:rPr>
                <w:rFonts w:ascii="Palatino Linotype" w:hAnsi="Palatino Linotype"/>
                <w:b/>
                <w:bCs/>
                <w:color w:val="000000"/>
                <w:sz w:val="16"/>
                <w:szCs w:val="16"/>
                <w:lang w:eastAsia="id-ID"/>
              </w:rPr>
              <w:t>Muaro Jambi</w:t>
            </w:r>
          </w:p>
        </w:tc>
        <w:tc>
          <w:tcPr>
            <w:tcW w:w="709" w:type="dxa"/>
            <w:tcBorders>
              <w:top w:val="single" w:sz="4" w:space="0" w:color="auto"/>
              <w:bottom w:val="single" w:sz="4" w:space="0" w:color="auto"/>
            </w:tcBorders>
            <w:shd w:val="clear" w:color="000000" w:fill="FFFFFF"/>
            <w:vAlign w:val="center"/>
            <w:hideMark/>
          </w:tcPr>
          <w:p w:rsidR="00BF5D40" w:rsidRPr="009D6D0F" w:rsidRDefault="00BF5D40" w:rsidP="00A55508">
            <w:pPr>
              <w:spacing w:after="0" w:line="240" w:lineRule="auto"/>
              <w:ind w:left="-108" w:right="-108"/>
              <w:jc w:val="center"/>
              <w:rPr>
                <w:rFonts w:ascii="Palatino Linotype" w:hAnsi="Palatino Linotype"/>
                <w:b/>
                <w:bCs/>
                <w:color w:val="000000"/>
                <w:sz w:val="16"/>
                <w:szCs w:val="16"/>
                <w:lang w:eastAsia="id-ID"/>
              </w:rPr>
            </w:pPr>
            <w:r w:rsidRPr="009D6D0F">
              <w:rPr>
                <w:rFonts w:ascii="Palatino Linotype" w:hAnsi="Palatino Linotype"/>
                <w:b/>
                <w:bCs/>
                <w:color w:val="000000"/>
                <w:sz w:val="16"/>
                <w:szCs w:val="16"/>
                <w:lang w:eastAsia="id-ID"/>
              </w:rPr>
              <w:t>Tanjung Jabung Barat</w:t>
            </w:r>
          </w:p>
        </w:tc>
        <w:tc>
          <w:tcPr>
            <w:tcW w:w="708" w:type="dxa"/>
            <w:tcBorders>
              <w:top w:val="single" w:sz="4" w:space="0" w:color="auto"/>
              <w:bottom w:val="single" w:sz="4" w:space="0" w:color="auto"/>
            </w:tcBorders>
            <w:shd w:val="clear" w:color="000000" w:fill="FFFFFF"/>
            <w:vAlign w:val="center"/>
            <w:hideMark/>
          </w:tcPr>
          <w:p w:rsidR="00BF5D40" w:rsidRPr="009D6D0F" w:rsidRDefault="00BF5D40" w:rsidP="00A55508">
            <w:pPr>
              <w:spacing w:after="0" w:line="240" w:lineRule="auto"/>
              <w:ind w:left="-108" w:right="-108"/>
              <w:jc w:val="center"/>
              <w:rPr>
                <w:rFonts w:ascii="Palatino Linotype" w:hAnsi="Palatino Linotype"/>
                <w:b/>
                <w:bCs/>
                <w:color w:val="000000"/>
                <w:sz w:val="16"/>
                <w:szCs w:val="16"/>
                <w:lang w:eastAsia="id-ID"/>
              </w:rPr>
            </w:pPr>
            <w:r w:rsidRPr="009D6D0F">
              <w:rPr>
                <w:rFonts w:ascii="Palatino Linotype" w:hAnsi="Palatino Linotype"/>
                <w:b/>
                <w:bCs/>
                <w:color w:val="000000"/>
                <w:sz w:val="16"/>
                <w:szCs w:val="16"/>
                <w:lang w:eastAsia="id-ID"/>
              </w:rPr>
              <w:t>Tanjung Jabung Timur</w:t>
            </w:r>
          </w:p>
        </w:tc>
        <w:tc>
          <w:tcPr>
            <w:tcW w:w="567" w:type="dxa"/>
            <w:tcBorders>
              <w:top w:val="single" w:sz="4" w:space="0" w:color="auto"/>
              <w:bottom w:val="single" w:sz="4" w:space="0" w:color="auto"/>
            </w:tcBorders>
            <w:shd w:val="clear" w:color="000000" w:fill="FFFFFF"/>
            <w:noWrap/>
            <w:vAlign w:val="center"/>
            <w:hideMark/>
          </w:tcPr>
          <w:p w:rsidR="00BF5D40" w:rsidRPr="009D6D0F" w:rsidRDefault="00BF5D40" w:rsidP="00A55508">
            <w:pPr>
              <w:spacing w:after="0" w:line="240" w:lineRule="auto"/>
              <w:ind w:left="-108" w:right="-108"/>
              <w:jc w:val="center"/>
              <w:rPr>
                <w:rFonts w:ascii="Palatino Linotype" w:hAnsi="Palatino Linotype"/>
                <w:b/>
                <w:bCs/>
                <w:color w:val="000000"/>
                <w:sz w:val="16"/>
                <w:szCs w:val="16"/>
                <w:lang w:eastAsia="id-ID"/>
              </w:rPr>
            </w:pPr>
            <w:r w:rsidRPr="009D6D0F">
              <w:rPr>
                <w:rFonts w:ascii="Palatino Linotype" w:hAnsi="Palatino Linotype"/>
                <w:b/>
                <w:bCs/>
                <w:color w:val="000000"/>
                <w:sz w:val="16"/>
                <w:szCs w:val="16"/>
                <w:lang w:eastAsia="id-ID"/>
              </w:rPr>
              <w:t>Bungo</w:t>
            </w:r>
          </w:p>
        </w:tc>
        <w:tc>
          <w:tcPr>
            <w:tcW w:w="426" w:type="dxa"/>
            <w:tcBorders>
              <w:top w:val="single" w:sz="4" w:space="0" w:color="auto"/>
              <w:bottom w:val="single" w:sz="4" w:space="0" w:color="auto"/>
            </w:tcBorders>
            <w:shd w:val="clear" w:color="000000" w:fill="FFFFFF"/>
            <w:noWrap/>
            <w:vAlign w:val="center"/>
            <w:hideMark/>
          </w:tcPr>
          <w:p w:rsidR="00BF5D40" w:rsidRPr="009D6D0F" w:rsidRDefault="00BF5D40" w:rsidP="00A55508">
            <w:pPr>
              <w:spacing w:after="0" w:line="240" w:lineRule="auto"/>
              <w:ind w:left="-108" w:right="-108"/>
              <w:jc w:val="center"/>
              <w:rPr>
                <w:rFonts w:ascii="Palatino Linotype" w:hAnsi="Palatino Linotype"/>
                <w:b/>
                <w:bCs/>
                <w:color w:val="000000"/>
                <w:sz w:val="16"/>
                <w:szCs w:val="16"/>
                <w:lang w:eastAsia="id-ID"/>
              </w:rPr>
            </w:pPr>
            <w:r w:rsidRPr="009D6D0F">
              <w:rPr>
                <w:rFonts w:ascii="Palatino Linotype" w:hAnsi="Palatino Linotype"/>
                <w:b/>
                <w:bCs/>
                <w:color w:val="000000"/>
                <w:sz w:val="16"/>
                <w:szCs w:val="16"/>
                <w:lang w:eastAsia="id-ID"/>
              </w:rPr>
              <w:t>Tebo</w:t>
            </w:r>
          </w:p>
        </w:tc>
        <w:tc>
          <w:tcPr>
            <w:tcW w:w="567" w:type="dxa"/>
            <w:tcBorders>
              <w:top w:val="single" w:sz="4" w:space="0" w:color="auto"/>
              <w:bottom w:val="single" w:sz="4" w:space="0" w:color="auto"/>
            </w:tcBorders>
            <w:shd w:val="clear" w:color="000000" w:fill="FFFFFF"/>
            <w:noWrap/>
            <w:vAlign w:val="center"/>
            <w:hideMark/>
          </w:tcPr>
          <w:p w:rsidR="00BF5D40" w:rsidRPr="009D6D0F" w:rsidRDefault="00BF5D40" w:rsidP="00A55508">
            <w:pPr>
              <w:spacing w:after="0" w:line="240" w:lineRule="auto"/>
              <w:ind w:left="-108" w:right="-108"/>
              <w:jc w:val="center"/>
              <w:rPr>
                <w:rFonts w:ascii="Palatino Linotype" w:hAnsi="Palatino Linotype"/>
                <w:b/>
                <w:bCs/>
                <w:color w:val="000000"/>
                <w:sz w:val="16"/>
                <w:szCs w:val="16"/>
                <w:lang w:eastAsia="id-ID"/>
              </w:rPr>
            </w:pPr>
            <w:r w:rsidRPr="009D6D0F">
              <w:rPr>
                <w:rFonts w:ascii="Palatino Linotype" w:hAnsi="Palatino Linotype"/>
                <w:b/>
                <w:bCs/>
                <w:color w:val="000000"/>
                <w:sz w:val="16"/>
                <w:szCs w:val="16"/>
                <w:lang w:eastAsia="id-ID"/>
              </w:rPr>
              <w:t>Kota Jambi</w:t>
            </w:r>
          </w:p>
        </w:tc>
        <w:tc>
          <w:tcPr>
            <w:tcW w:w="567" w:type="dxa"/>
            <w:tcBorders>
              <w:top w:val="single" w:sz="4" w:space="0" w:color="auto"/>
              <w:bottom w:val="single" w:sz="4" w:space="0" w:color="auto"/>
            </w:tcBorders>
            <w:shd w:val="clear" w:color="000000" w:fill="FFFFFF"/>
            <w:vAlign w:val="center"/>
            <w:hideMark/>
          </w:tcPr>
          <w:p w:rsidR="00BF5D40" w:rsidRPr="009D6D0F" w:rsidRDefault="00BF5D40" w:rsidP="00A55508">
            <w:pPr>
              <w:spacing w:after="0" w:line="240" w:lineRule="auto"/>
              <w:ind w:left="-108" w:right="-108"/>
              <w:jc w:val="center"/>
              <w:rPr>
                <w:rFonts w:ascii="Palatino Linotype" w:hAnsi="Palatino Linotype"/>
                <w:b/>
                <w:bCs/>
                <w:color w:val="000000"/>
                <w:sz w:val="16"/>
                <w:szCs w:val="16"/>
                <w:lang w:eastAsia="id-ID"/>
              </w:rPr>
            </w:pPr>
            <w:r w:rsidRPr="009D6D0F">
              <w:rPr>
                <w:rFonts w:ascii="Palatino Linotype" w:hAnsi="Palatino Linotype"/>
                <w:b/>
                <w:bCs/>
                <w:color w:val="000000"/>
                <w:sz w:val="16"/>
                <w:szCs w:val="16"/>
                <w:lang w:eastAsia="id-ID"/>
              </w:rPr>
              <w:t>Kota Sungai Penuh</w:t>
            </w:r>
          </w:p>
        </w:tc>
      </w:tr>
      <w:tr w:rsidR="00BF5D40" w:rsidRPr="00A8696A" w:rsidTr="00A55508">
        <w:trPr>
          <w:trHeight w:val="215"/>
        </w:trPr>
        <w:tc>
          <w:tcPr>
            <w:tcW w:w="567" w:type="dxa"/>
            <w:tcBorders>
              <w:top w:val="single" w:sz="4" w:space="0" w:color="auto"/>
            </w:tcBorders>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A.</w:t>
            </w:r>
          </w:p>
        </w:tc>
        <w:tc>
          <w:tcPr>
            <w:tcW w:w="1985" w:type="dxa"/>
            <w:tcBorders>
              <w:top w:val="single" w:sz="4" w:space="0" w:color="auto"/>
            </w:tcBorders>
            <w:shd w:val="clear" w:color="000000" w:fill="FFFFFF"/>
            <w:noWrap/>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Agriculture, Forestry and Fishery</w:t>
            </w:r>
          </w:p>
        </w:tc>
        <w:tc>
          <w:tcPr>
            <w:tcW w:w="709" w:type="dxa"/>
            <w:tcBorders>
              <w:top w:val="single" w:sz="4" w:space="0" w:color="auto"/>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tcBorders>
              <w:top w:val="single" w:sz="4" w:space="0" w:color="auto"/>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tcBorders>
              <w:top w:val="single" w:sz="4" w:space="0" w:color="auto"/>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single" w:sz="4" w:space="0" w:color="auto"/>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single" w:sz="4" w:space="0" w:color="auto"/>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tcBorders>
              <w:top w:val="single" w:sz="4" w:space="0" w:color="auto"/>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tcBorders>
              <w:top w:val="single" w:sz="4" w:space="0" w:color="auto"/>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single" w:sz="4" w:space="0" w:color="auto"/>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tcBorders>
              <w:top w:val="single" w:sz="4" w:space="0" w:color="auto"/>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single" w:sz="4" w:space="0" w:color="auto"/>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single" w:sz="4" w:space="0" w:color="auto"/>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166"/>
        </w:trPr>
        <w:tc>
          <w:tcPr>
            <w:tcW w:w="567" w:type="dxa"/>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B.</w:t>
            </w:r>
          </w:p>
        </w:tc>
        <w:tc>
          <w:tcPr>
            <w:tcW w:w="1985" w:type="dxa"/>
            <w:shd w:val="clear" w:color="000000" w:fill="FFFFFF"/>
            <w:noWrap/>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Mining and Quarrying</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130"/>
        </w:trPr>
        <w:tc>
          <w:tcPr>
            <w:tcW w:w="567" w:type="dxa"/>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C.</w:t>
            </w:r>
          </w:p>
        </w:tc>
        <w:tc>
          <w:tcPr>
            <w:tcW w:w="1985" w:type="dxa"/>
            <w:shd w:val="clear" w:color="000000" w:fill="FFFFFF"/>
            <w:noWrap/>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Manufacturing Industry</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95"/>
        </w:trPr>
        <w:tc>
          <w:tcPr>
            <w:tcW w:w="567" w:type="dxa"/>
            <w:tcBorders>
              <w:bottom w:val="nil"/>
            </w:tcBorders>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D.</w:t>
            </w:r>
          </w:p>
        </w:tc>
        <w:tc>
          <w:tcPr>
            <w:tcW w:w="1985" w:type="dxa"/>
            <w:tcBorders>
              <w:bottom w:val="nil"/>
            </w:tcBorders>
            <w:shd w:val="clear" w:color="000000" w:fill="FFFFFF"/>
            <w:noWrap/>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Electricity and Gas</w:t>
            </w:r>
          </w:p>
        </w:tc>
        <w:tc>
          <w:tcPr>
            <w:tcW w:w="709" w:type="dxa"/>
            <w:tcBorders>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tcBorders>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tcBorders>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tcBorders>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tcBorders>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tcBorders>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390"/>
        </w:trPr>
        <w:tc>
          <w:tcPr>
            <w:tcW w:w="567" w:type="dxa"/>
            <w:tcBorders>
              <w:top w:val="nil"/>
              <w:bottom w:val="nil"/>
            </w:tcBorders>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E.</w:t>
            </w:r>
          </w:p>
        </w:tc>
        <w:tc>
          <w:tcPr>
            <w:tcW w:w="1985" w:type="dxa"/>
            <w:tcBorders>
              <w:top w:val="nil"/>
              <w:bottom w:val="nil"/>
            </w:tcBorders>
            <w:shd w:val="clear" w:color="000000" w:fill="FFFFFF"/>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 xml:space="preserve">Water supply, Sewerage, Waste Management and </w:t>
            </w:r>
            <w:r>
              <w:rPr>
                <w:rFonts w:ascii="Palatino Linotype" w:hAnsi="Palatino Linotype"/>
                <w:color w:val="000000"/>
                <w:sz w:val="18"/>
                <w:lang w:eastAsia="id-ID"/>
              </w:rPr>
              <w:lastRenderedPageBreak/>
              <w:t>Remediation Activities</w:t>
            </w:r>
          </w:p>
        </w:tc>
        <w:tc>
          <w:tcPr>
            <w:tcW w:w="709" w:type="dxa"/>
            <w:tcBorders>
              <w:top w:val="nil"/>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lastRenderedPageBreak/>
              <w:t>−</w:t>
            </w:r>
          </w:p>
        </w:tc>
        <w:tc>
          <w:tcPr>
            <w:tcW w:w="850" w:type="dxa"/>
            <w:tcBorders>
              <w:top w:val="nil"/>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tcBorders>
              <w:top w:val="nil"/>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nil"/>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nil"/>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tcBorders>
              <w:top w:val="nil"/>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tcBorders>
              <w:top w:val="nil"/>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nil"/>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tcBorders>
              <w:top w:val="nil"/>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nil"/>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nil"/>
              <w:bottom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121"/>
        </w:trPr>
        <w:tc>
          <w:tcPr>
            <w:tcW w:w="567" w:type="dxa"/>
            <w:tcBorders>
              <w:top w:val="nil"/>
            </w:tcBorders>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lastRenderedPageBreak/>
              <w:t>F.</w:t>
            </w:r>
          </w:p>
        </w:tc>
        <w:tc>
          <w:tcPr>
            <w:tcW w:w="1985" w:type="dxa"/>
            <w:tcBorders>
              <w:top w:val="nil"/>
            </w:tcBorders>
            <w:shd w:val="clear" w:color="000000" w:fill="FFFFFF"/>
            <w:noWrap/>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Construction</w:t>
            </w:r>
          </w:p>
        </w:tc>
        <w:tc>
          <w:tcPr>
            <w:tcW w:w="709" w:type="dxa"/>
            <w:tcBorders>
              <w:top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tcBorders>
              <w:top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tcBorders>
              <w:top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tcBorders>
              <w:top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tcBorders>
              <w:top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tcBorders>
              <w:top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tcBorders>
              <w:top w:val="nil"/>
            </w:tcBorders>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230"/>
        </w:trPr>
        <w:tc>
          <w:tcPr>
            <w:tcW w:w="567" w:type="dxa"/>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G.</w:t>
            </w:r>
          </w:p>
        </w:tc>
        <w:tc>
          <w:tcPr>
            <w:tcW w:w="1985" w:type="dxa"/>
            <w:shd w:val="clear" w:color="000000" w:fill="FFFFFF"/>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Wholesale and Retail Trade; Repair of Motor Vehicles and Motorcycles</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209"/>
        </w:trPr>
        <w:tc>
          <w:tcPr>
            <w:tcW w:w="567" w:type="dxa"/>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H.</w:t>
            </w:r>
          </w:p>
        </w:tc>
        <w:tc>
          <w:tcPr>
            <w:tcW w:w="1985" w:type="dxa"/>
            <w:shd w:val="clear" w:color="000000" w:fill="FFFFFF"/>
            <w:noWrap/>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Transportation and Storage</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272"/>
        </w:trPr>
        <w:tc>
          <w:tcPr>
            <w:tcW w:w="567" w:type="dxa"/>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I.</w:t>
            </w:r>
          </w:p>
        </w:tc>
        <w:tc>
          <w:tcPr>
            <w:tcW w:w="1985" w:type="dxa"/>
            <w:shd w:val="clear" w:color="000000" w:fill="FFFFFF"/>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Accomodation and Food Services Activity</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169"/>
        </w:trPr>
        <w:tc>
          <w:tcPr>
            <w:tcW w:w="567" w:type="dxa"/>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J.</w:t>
            </w:r>
          </w:p>
        </w:tc>
        <w:tc>
          <w:tcPr>
            <w:tcW w:w="1985" w:type="dxa"/>
            <w:shd w:val="clear" w:color="000000" w:fill="FFFFFF"/>
            <w:noWrap/>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Information and Communication</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136"/>
        </w:trPr>
        <w:tc>
          <w:tcPr>
            <w:tcW w:w="567" w:type="dxa"/>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K.</w:t>
            </w:r>
          </w:p>
        </w:tc>
        <w:tc>
          <w:tcPr>
            <w:tcW w:w="1985" w:type="dxa"/>
            <w:shd w:val="clear" w:color="000000" w:fill="FFFFFF"/>
            <w:noWrap/>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Financial Services and Insurances</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183"/>
        </w:trPr>
        <w:tc>
          <w:tcPr>
            <w:tcW w:w="567" w:type="dxa"/>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L.</w:t>
            </w:r>
          </w:p>
        </w:tc>
        <w:tc>
          <w:tcPr>
            <w:tcW w:w="1985" w:type="dxa"/>
            <w:shd w:val="clear" w:color="000000" w:fill="FFFFFF"/>
            <w:noWrap/>
            <w:vAlign w:val="center"/>
            <w:hideMark/>
          </w:tcPr>
          <w:p w:rsidR="00BF5D40" w:rsidRPr="00A8696A" w:rsidRDefault="00BF5D40" w:rsidP="00A55508">
            <w:pPr>
              <w:spacing w:after="0" w:line="240" w:lineRule="auto"/>
              <w:rPr>
                <w:rFonts w:ascii="Palatino Linotype" w:hAnsi="Palatino Linotype"/>
                <w:color w:val="000000"/>
                <w:sz w:val="18"/>
                <w:lang w:eastAsia="id-ID"/>
              </w:rPr>
            </w:pPr>
            <w:r w:rsidRPr="00A8696A">
              <w:rPr>
                <w:rFonts w:ascii="Palatino Linotype" w:hAnsi="Palatino Linotype"/>
                <w:color w:val="000000"/>
                <w:sz w:val="18"/>
                <w:lang w:eastAsia="id-ID"/>
              </w:rPr>
              <w:t>Real Estate</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72"/>
        </w:trPr>
        <w:tc>
          <w:tcPr>
            <w:tcW w:w="567" w:type="dxa"/>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M,N.</w:t>
            </w:r>
          </w:p>
        </w:tc>
        <w:tc>
          <w:tcPr>
            <w:tcW w:w="1985" w:type="dxa"/>
            <w:shd w:val="clear" w:color="000000" w:fill="FFFFFF"/>
            <w:noWrap/>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Business Activities</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374"/>
        </w:trPr>
        <w:tc>
          <w:tcPr>
            <w:tcW w:w="567" w:type="dxa"/>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O.</w:t>
            </w:r>
          </w:p>
        </w:tc>
        <w:tc>
          <w:tcPr>
            <w:tcW w:w="1985" w:type="dxa"/>
            <w:shd w:val="clear" w:color="000000" w:fill="FFFFFF"/>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Public Administration and Defence; Compulsory Social Security</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144"/>
        </w:trPr>
        <w:tc>
          <w:tcPr>
            <w:tcW w:w="567" w:type="dxa"/>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P.</w:t>
            </w:r>
          </w:p>
        </w:tc>
        <w:tc>
          <w:tcPr>
            <w:tcW w:w="1985" w:type="dxa"/>
            <w:shd w:val="clear" w:color="000000" w:fill="FFFFFF"/>
            <w:noWrap/>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Education</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175"/>
        </w:trPr>
        <w:tc>
          <w:tcPr>
            <w:tcW w:w="567" w:type="dxa"/>
            <w:shd w:val="clear" w:color="000000" w:fill="FFFFFF"/>
            <w:noWrap/>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Q.</w:t>
            </w:r>
          </w:p>
        </w:tc>
        <w:tc>
          <w:tcPr>
            <w:tcW w:w="1985" w:type="dxa"/>
            <w:shd w:val="clear" w:color="000000" w:fill="FFFFFF"/>
            <w:noWrap/>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Human Health and Social Work Activities</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r w:rsidR="00BF5D40" w:rsidRPr="00A8696A" w:rsidTr="00A55508">
        <w:trPr>
          <w:trHeight w:val="208"/>
        </w:trPr>
        <w:tc>
          <w:tcPr>
            <w:tcW w:w="567" w:type="dxa"/>
            <w:shd w:val="clear" w:color="000000" w:fill="FFFFFF"/>
            <w:noWrap/>
            <w:hideMark/>
          </w:tcPr>
          <w:p w:rsidR="00BF5D40" w:rsidRPr="00A8696A" w:rsidRDefault="00BF5D40" w:rsidP="00A55508">
            <w:pPr>
              <w:spacing w:after="0" w:line="240" w:lineRule="auto"/>
              <w:ind w:left="-108" w:right="-108"/>
              <w:jc w:val="center"/>
              <w:rPr>
                <w:rFonts w:ascii="Palatino Linotype" w:hAnsi="Palatino Linotype"/>
                <w:color w:val="000000"/>
                <w:sz w:val="18"/>
                <w:lang w:eastAsia="id-ID"/>
              </w:rPr>
            </w:pPr>
            <w:r w:rsidRPr="00A8696A">
              <w:rPr>
                <w:rFonts w:ascii="Palatino Linotype" w:hAnsi="Palatino Linotype"/>
                <w:color w:val="000000"/>
                <w:sz w:val="18"/>
                <w:lang w:eastAsia="id-ID"/>
              </w:rPr>
              <w:t>R,S,T,U</w:t>
            </w:r>
          </w:p>
        </w:tc>
        <w:tc>
          <w:tcPr>
            <w:tcW w:w="1985" w:type="dxa"/>
            <w:shd w:val="clear" w:color="000000" w:fill="FFFFFF"/>
            <w:noWrap/>
            <w:vAlign w:val="center"/>
            <w:hideMark/>
          </w:tcPr>
          <w:p w:rsidR="00BF5D40" w:rsidRPr="00A8696A" w:rsidRDefault="00BF5D40" w:rsidP="00A55508">
            <w:pPr>
              <w:spacing w:after="0" w:line="240" w:lineRule="auto"/>
              <w:rPr>
                <w:rFonts w:ascii="Palatino Linotype" w:hAnsi="Palatino Linotype"/>
                <w:color w:val="000000"/>
                <w:sz w:val="18"/>
                <w:lang w:eastAsia="id-ID"/>
              </w:rPr>
            </w:pPr>
            <w:r>
              <w:rPr>
                <w:rFonts w:ascii="Palatino Linotype" w:hAnsi="Palatino Linotype"/>
                <w:color w:val="000000"/>
                <w:sz w:val="18"/>
                <w:lang w:eastAsia="id-ID"/>
              </w:rPr>
              <w:t>Other Services Activities</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850"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992"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9"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708"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426"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c>
          <w:tcPr>
            <w:tcW w:w="567" w:type="dxa"/>
            <w:shd w:val="clear" w:color="000000" w:fill="FFFFFF"/>
            <w:noWrap/>
            <w:vAlign w:val="center"/>
            <w:hideMark/>
          </w:tcPr>
          <w:p w:rsidR="00BF5D40" w:rsidRPr="00A8696A" w:rsidRDefault="00BF5D40" w:rsidP="00A55508">
            <w:pPr>
              <w:spacing w:after="0" w:line="240" w:lineRule="auto"/>
              <w:jc w:val="center"/>
              <w:rPr>
                <w:rFonts w:ascii="Palatino Linotype" w:hAnsi="Palatino Linotype"/>
                <w:color w:val="000000"/>
                <w:sz w:val="18"/>
                <w:lang w:eastAsia="id-ID"/>
              </w:rPr>
            </w:pPr>
            <w:r w:rsidRPr="00A8696A">
              <w:rPr>
                <w:rFonts w:ascii="Palatino Linotype" w:hAnsi="Palatino Linotype"/>
                <w:color w:val="000000"/>
                <w:sz w:val="18"/>
                <w:lang w:eastAsia="id-ID"/>
              </w:rPr>
              <w:t>√</w:t>
            </w:r>
          </w:p>
        </w:tc>
      </w:tr>
    </w:tbl>
    <w:p w:rsidR="00BF5D40" w:rsidRPr="009D6D0F" w:rsidRDefault="00BF5D40" w:rsidP="00BF5D40">
      <w:pPr>
        <w:rPr>
          <w:rFonts w:ascii="Palatino Linotype" w:hAnsi="Palatino Linotype"/>
          <w:sz w:val="20"/>
          <w:szCs w:val="20"/>
        </w:rPr>
      </w:pPr>
      <w:r w:rsidRPr="009D6D0F">
        <w:rPr>
          <w:rFonts w:ascii="Palatino Linotype" w:hAnsi="Palatino Linotype"/>
          <w:sz w:val="20"/>
          <w:szCs w:val="20"/>
        </w:rPr>
        <w:t>Source: BPS Provinsi Jambi, 2017</w:t>
      </w:r>
    </w:p>
    <w:p w:rsidR="00BF5D40" w:rsidRPr="009D6D0F" w:rsidRDefault="00BF5D40" w:rsidP="00BF5D40">
      <w:pPr>
        <w:ind w:left="810" w:hanging="903"/>
        <w:jc w:val="both"/>
        <w:rPr>
          <w:rFonts w:ascii="Palatino Linotype" w:hAnsi="Palatino Linotype"/>
          <w:b/>
          <w:sz w:val="20"/>
          <w:szCs w:val="20"/>
        </w:rPr>
      </w:pPr>
      <w:r w:rsidRPr="009D6D0F">
        <w:rPr>
          <w:rFonts w:ascii="Palatino Linotype" w:hAnsi="Palatino Linotype"/>
          <w:b/>
          <w:sz w:val="20"/>
          <w:szCs w:val="20"/>
        </w:rPr>
        <w:t>Tabel 6. Superior Sector Recap (LQ) Based on Production of Regency / City in Jambi Province Year 2011 – 2015</w:t>
      </w:r>
    </w:p>
    <w:tbl>
      <w:tblPr>
        <w:tblW w:w="9719" w:type="dxa"/>
        <w:tblInd w:w="-176" w:type="dxa"/>
        <w:tblBorders>
          <w:top w:val="single" w:sz="4" w:space="0" w:color="auto"/>
          <w:bottom w:val="single" w:sz="4" w:space="0" w:color="auto"/>
        </w:tblBorders>
        <w:tblLook w:val="04A0"/>
      </w:tblPr>
      <w:tblGrid>
        <w:gridCol w:w="628"/>
        <w:gridCol w:w="1510"/>
        <w:gridCol w:w="729"/>
        <w:gridCol w:w="819"/>
        <w:gridCol w:w="993"/>
        <w:gridCol w:w="677"/>
        <w:gridCol w:w="567"/>
        <w:gridCol w:w="808"/>
        <w:gridCol w:w="709"/>
        <w:gridCol w:w="585"/>
        <w:gridCol w:w="418"/>
        <w:gridCol w:w="597"/>
        <w:gridCol w:w="679"/>
      </w:tblGrid>
      <w:tr w:rsidR="00BF5D40" w:rsidRPr="009D6D0F" w:rsidTr="00A55508">
        <w:trPr>
          <w:trHeight w:val="335"/>
        </w:trPr>
        <w:tc>
          <w:tcPr>
            <w:tcW w:w="628" w:type="dxa"/>
            <w:vMerge w:val="restart"/>
            <w:tcBorders>
              <w:top w:val="single" w:sz="4" w:space="0" w:color="auto"/>
            </w:tcBorders>
            <w:shd w:val="clear" w:color="auto" w:fill="auto"/>
            <w:noWrap/>
            <w:hideMark/>
          </w:tcPr>
          <w:p w:rsidR="00BF5D40" w:rsidRPr="002F384A" w:rsidRDefault="00BF5D40" w:rsidP="00A55508">
            <w:pPr>
              <w:spacing w:after="0" w:line="240" w:lineRule="auto"/>
              <w:rPr>
                <w:rFonts w:ascii="Palatino Linotype" w:hAnsi="Palatino Linotype"/>
                <w:color w:val="000000"/>
                <w:sz w:val="16"/>
                <w:szCs w:val="18"/>
                <w:lang w:eastAsia="id-ID"/>
              </w:rPr>
            </w:pPr>
          </w:p>
        </w:tc>
        <w:tc>
          <w:tcPr>
            <w:tcW w:w="1510" w:type="dxa"/>
            <w:vMerge w:val="restart"/>
            <w:tcBorders>
              <w:top w:val="single" w:sz="4" w:space="0" w:color="auto"/>
            </w:tcBorders>
            <w:shd w:val="clear" w:color="auto" w:fill="auto"/>
            <w:noWrap/>
            <w:vAlign w:val="center"/>
            <w:hideMark/>
          </w:tcPr>
          <w:p w:rsidR="00BF5D40" w:rsidRPr="002F384A" w:rsidRDefault="00BF5D40" w:rsidP="00A55508">
            <w:pPr>
              <w:spacing w:after="0" w:line="240" w:lineRule="auto"/>
              <w:jc w:val="center"/>
              <w:rPr>
                <w:rFonts w:ascii="Palatino Linotype" w:hAnsi="Palatino Linotype"/>
                <w:b/>
                <w:bCs/>
                <w:color w:val="000000"/>
                <w:sz w:val="16"/>
                <w:szCs w:val="18"/>
                <w:lang w:eastAsia="id-ID"/>
              </w:rPr>
            </w:pPr>
            <w:r>
              <w:rPr>
                <w:rFonts w:ascii="Palatino Linotype" w:hAnsi="Palatino Linotype"/>
                <w:b/>
                <w:bCs/>
                <w:color w:val="000000"/>
                <w:sz w:val="16"/>
                <w:szCs w:val="16"/>
                <w:lang w:eastAsia="id-ID"/>
              </w:rPr>
              <w:t>Industrial Origin</w:t>
            </w:r>
          </w:p>
        </w:tc>
        <w:tc>
          <w:tcPr>
            <w:tcW w:w="7581" w:type="dxa"/>
            <w:gridSpan w:val="11"/>
            <w:tcBorders>
              <w:top w:val="single" w:sz="4" w:space="0" w:color="auto"/>
              <w:bottom w:val="single" w:sz="4" w:space="0" w:color="auto"/>
            </w:tcBorders>
            <w:shd w:val="clear" w:color="000000" w:fill="FFFFFF"/>
            <w:noWrap/>
            <w:vAlign w:val="center"/>
            <w:hideMark/>
          </w:tcPr>
          <w:p w:rsidR="00BF5D40" w:rsidRPr="002F384A" w:rsidRDefault="00BF5D40" w:rsidP="00A55508">
            <w:pPr>
              <w:spacing w:after="0" w:line="240" w:lineRule="auto"/>
              <w:ind w:left="-138" w:right="-78"/>
              <w:jc w:val="center"/>
              <w:rPr>
                <w:rFonts w:ascii="Palatino Linotype" w:hAnsi="Palatino Linotype"/>
                <w:b/>
                <w:bCs/>
                <w:color w:val="000000"/>
                <w:sz w:val="16"/>
                <w:szCs w:val="18"/>
                <w:lang w:eastAsia="id-ID"/>
              </w:rPr>
            </w:pPr>
            <w:r>
              <w:rPr>
                <w:rFonts w:ascii="Palatino Linotype" w:hAnsi="Palatino Linotype"/>
                <w:b/>
                <w:bCs/>
                <w:color w:val="000000"/>
                <w:sz w:val="16"/>
                <w:szCs w:val="16"/>
                <w:lang w:eastAsia="id-ID"/>
              </w:rPr>
              <w:t>Regency / City</w:t>
            </w:r>
          </w:p>
        </w:tc>
      </w:tr>
      <w:tr w:rsidR="00BF5D40" w:rsidRPr="009D6D0F" w:rsidTr="00A55508">
        <w:trPr>
          <w:trHeight w:val="569"/>
        </w:trPr>
        <w:tc>
          <w:tcPr>
            <w:tcW w:w="628" w:type="dxa"/>
            <w:vMerge/>
            <w:tcBorders>
              <w:bottom w:val="single" w:sz="4" w:space="0" w:color="auto"/>
            </w:tcBorders>
            <w:shd w:val="clear" w:color="auto" w:fill="auto"/>
            <w:noWrap/>
            <w:hideMark/>
          </w:tcPr>
          <w:p w:rsidR="00BF5D40" w:rsidRPr="002F384A" w:rsidRDefault="00BF5D40" w:rsidP="00A55508">
            <w:pPr>
              <w:spacing w:after="0" w:line="240" w:lineRule="auto"/>
              <w:rPr>
                <w:rFonts w:ascii="Palatino Linotype" w:hAnsi="Palatino Linotype"/>
                <w:color w:val="000000"/>
                <w:sz w:val="16"/>
                <w:szCs w:val="18"/>
                <w:lang w:eastAsia="id-ID"/>
              </w:rPr>
            </w:pPr>
          </w:p>
        </w:tc>
        <w:tc>
          <w:tcPr>
            <w:tcW w:w="1510" w:type="dxa"/>
            <w:vMerge/>
            <w:tcBorders>
              <w:bottom w:val="single" w:sz="4" w:space="0" w:color="auto"/>
            </w:tcBorders>
            <w:shd w:val="clear" w:color="auto" w:fill="auto"/>
            <w:noWrap/>
            <w:vAlign w:val="center"/>
            <w:hideMark/>
          </w:tcPr>
          <w:p w:rsidR="00BF5D40" w:rsidRPr="002F384A" w:rsidRDefault="00BF5D40" w:rsidP="00A55508">
            <w:pPr>
              <w:spacing w:after="0" w:line="240" w:lineRule="auto"/>
              <w:jc w:val="center"/>
              <w:rPr>
                <w:rFonts w:ascii="Palatino Linotype" w:hAnsi="Palatino Linotype"/>
                <w:b/>
                <w:bCs/>
                <w:color w:val="000000"/>
                <w:sz w:val="16"/>
                <w:szCs w:val="18"/>
                <w:lang w:eastAsia="id-ID"/>
              </w:rPr>
            </w:pPr>
          </w:p>
        </w:tc>
        <w:tc>
          <w:tcPr>
            <w:tcW w:w="729" w:type="dxa"/>
            <w:tcBorders>
              <w:top w:val="single" w:sz="4" w:space="0" w:color="auto"/>
              <w:bottom w:val="single" w:sz="4" w:space="0" w:color="auto"/>
            </w:tcBorders>
            <w:shd w:val="clear" w:color="000000" w:fill="FFFFFF"/>
            <w:noWrap/>
            <w:vAlign w:val="center"/>
            <w:hideMark/>
          </w:tcPr>
          <w:p w:rsidR="00BF5D40" w:rsidRPr="002F384A" w:rsidRDefault="00BF5D40" w:rsidP="00A55508">
            <w:pPr>
              <w:spacing w:after="0" w:line="240" w:lineRule="auto"/>
              <w:ind w:left="-15" w:right="-81"/>
              <w:jc w:val="center"/>
              <w:rPr>
                <w:rFonts w:ascii="Palatino Linotype" w:hAnsi="Palatino Linotype"/>
                <w:b/>
                <w:bCs/>
                <w:color w:val="000000"/>
                <w:sz w:val="16"/>
                <w:szCs w:val="18"/>
                <w:lang w:eastAsia="id-ID"/>
              </w:rPr>
            </w:pPr>
            <w:r w:rsidRPr="002F384A">
              <w:rPr>
                <w:rFonts w:ascii="Palatino Linotype" w:hAnsi="Palatino Linotype"/>
                <w:b/>
                <w:bCs/>
                <w:color w:val="000000"/>
                <w:sz w:val="16"/>
                <w:szCs w:val="18"/>
                <w:lang w:eastAsia="id-ID"/>
              </w:rPr>
              <w:t>Kerinci</w:t>
            </w:r>
          </w:p>
        </w:tc>
        <w:tc>
          <w:tcPr>
            <w:tcW w:w="819" w:type="dxa"/>
            <w:tcBorders>
              <w:top w:val="single" w:sz="4" w:space="0" w:color="auto"/>
              <w:bottom w:val="single" w:sz="4" w:space="0" w:color="auto"/>
            </w:tcBorders>
            <w:shd w:val="clear" w:color="000000" w:fill="FFFFFF"/>
            <w:noWrap/>
            <w:vAlign w:val="center"/>
            <w:hideMark/>
          </w:tcPr>
          <w:p w:rsidR="00BF5D40" w:rsidRPr="002F384A" w:rsidRDefault="00BF5D40" w:rsidP="00A55508">
            <w:pPr>
              <w:spacing w:after="0" w:line="240" w:lineRule="auto"/>
              <w:ind w:left="-108" w:right="-108"/>
              <w:jc w:val="center"/>
              <w:rPr>
                <w:rFonts w:ascii="Palatino Linotype" w:hAnsi="Palatino Linotype"/>
                <w:b/>
                <w:bCs/>
                <w:color w:val="000000"/>
                <w:sz w:val="16"/>
                <w:szCs w:val="18"/>
                <w:lang w:eastAsia="id-ID"/>
              </w:rPr>
            </w:pPr>
            <w:r w:rsidRPr="002F384A">
              <w:rPr>
                <w:rFonts w:ascii="Palatino Linotype" w:hAnsi="Palatino Linotype"/>
                <w:b/>
                <w:bCs/>
                <w:color w:val="000000"/>
                <w:sz w:val="16"/>
                <w:szCs w:val="18"/>
                <w:lang w:eastAsia="id-ID"/>
              </w:rPr>
              <w:t>Merangin</w:t>
            </w:r>
          </w:p>
        </w:tc>
        <w:tc>
          <w:tcPr>
            <w:tcW w:w="993" w:type="dxa"/>
            <w:tcBorders>
              <w:top w:val="single" w:sz="4" w:space="0" w:color="auto"/>
              <w:bottom w:val="single" w:sz="4" w:space="0" w:color="auto"/>
            </w:tcBorders>
            <w:shd w:val="clear" w:color="000000" w:fill="FFFFFF"/>
            <w:noWrap/>
            <w:vAlign w:val="center"/>
            <w:hideMark/>
          </w:tcPr>
          <w:p w:rsidR="00BF5D40" w:rsidRPr="002F384A" w:rsidRDefault="00BF5D40" w:rsidP="00A55508">
            <w:pPr>
              <w:spacing w:after="0" w:line="240" w:lineRule="auto"/>
              <w:ind w:left="-108" w:right="-144"/>
              <w:jc w:val="center"/>
              <w:rPr>
                <w:rFonts w:ascii="Palatino Linotype" w:hAnsi="Palatino Linotype"/>
                <w:b/>
                <w:bCs/>
                <w:color w:val="000000"/>
                <w:sz w:val="16"/>
                <w:szCs w:val="18"/>
                <w:lang w:eastAsia="id-ID"/>
              </w:rPr>
            </w:pPr>
            <w:r w:rsidRPr="002F384A">
              <w:rPr>
                <w:rFonts w:ascii="Palatino Linotype" w:hAnsi="Palatino Linotype"/>
                <w:b/>
                <w:bCs/>
                <w:color w:val="000000"/>
                <w:sz w:val="16"/>
                <w:szCs w:val="18"/>
                <w:lang w:eastAsia="id-ID"/>
              </w:rPr>
              <w:t>Sarolangun</w:t>
            </w:r>
          </w:p>
        </w:tc>
        <w:tc>
          <w:tcPr>
            <w:tcW w:w="677" w:type="dxa"/>
            <w:tcBorders>
              <w:top w:val="single" w:sz="4" w:space="0" w:color="auto"/>
              <w:bottom w:val="single" w:sz="4" w:space="0" w:color="auto"/>
            </w:tcBorders>
            <w:shd w:val="clear" w:color="000000" w:fill="FFFFFF"/>
            <w:vAlign w:val="center"/>
            <w:hideMark/>
          </w:tcPr>
          <w:p w:rsidR="00BF5D40" w:rsidRPr="002F384A" w:rsidRDefault="00BF5D40" w:rsidP="00A55508">
            <w:pPr>
              <w:spacing w:after="0" w:line="240" w:lineRule="auto"/>
              <w:ind w:left="-108"/>
              <w:jc w:val="center"/>
              <w:rPr>
                <w:rFonts w:ascii="Palatino Linotype" w:hAnsi="Palatino Linotype"/>
                <w:b/>
                <w:bCs/>
                <w:color w:val="000000"/>
                <w:sz w:val="16"/>
                <w:szCs w:val="18"/>
                <w:lang w:eastAsia="id-ID"/>
              </w:rPr>
            </w:pPr>
            <w:r w:rsidRPr="002F384A">
              <w:rPr>
                <w:rFonts w:ascii="Palatino Linotype" w:hAnsi="Palatino Linotype"/>
                <w:b/>
                <w:bCs/>
                <w:color w:val="000000"/>
                <w:sz w:val="16"/>
                <w:szCs w:val="18"/>
                <w:lang w:eastAsia="id-ID"/>
              </w:rPr>
              <w:t>Batang Hari</w:t>
            </w:r>
          </w:p>
        </w:tc>
        <w:tc>
          <w:tcPr>
            <w:tcW w:w="567" w:type="dxa"/>
            <w:tcBorders>
              <w:top w:val="single" w:sz="4" w:space="0" w:color="auto"/>
              <w:bottom w:val="single" w:sz="4" w:space="0" w:color="auto"/>
            </w:tcBorders>
            <w:shd w:val="clear" w:color="000000" w:fill="FFFFFF"/>
            <w:vAlign w:val="center"/>
            <w:hideMark/>
          </w:tcPr>
          <w:p w:rsidR="00BF5D40" w:rsidRPr="002F384A" w:rsidRDefault="00BF5D40" w:rsidP="00A55508">
            <w:pPr>
              <w:spacing w:after="0" w:line="240" w:lineRule="auto"/>
              <w:ind w:left="-119" w:right="-96"/>
              <w:jc w:val="center"/>
              <w:rPr>
                <w:rFonts w:ascii="Palatino Linotype" w:hAnsi="Palatino Linotype"/>
                <w:b/>
                <w:bCs/>
                <w:color w:val="000000"/>
                <w:sz w:val="16"/>
                <w:szCs w:val="18"/>
                <w:lang w:eastAsia="id-ID"/>
              </w:rPr>
            </w:pPr>
            <w:r w:rsidRPr="002F384A">
              <w:rPr>
                <w:rFonts w:ascii="Palatino Linotype" w:hAnsi="Palatino Linotype"/>
                <w:b/>
                <w:bCs/>
                <w:color w:val="000000"/>
                <w:sz w:val="16"/>
                <w:szCs w:val="18"/>
                <w:lang w:eastAsia="id-ID"/>
              </w:rPr>
              <w:t>Muaro Jambi</w:t>
            </w:r>
          </w:p>
        </w:tc>
        <w:tc>
          <w:tcPr>
            <w:tcW w:w="808" w:type="dxa"/>
            <w:tcBorders>
              <w:top w:val="single" w:sz="4" w:space="0" w:color="auto"/>
              <w:bottom w:val="single" w:sz="4" w:space="0" w:color="auto"/>
            </w:tcBorders>
            <w:shd w:val="clear" w:color="000000" w:fill="FFFFFF"/>
            <w:vAlign w:val="center"/>
            <w:hideMark/>
          </w:tcPr>
          <w:p w:rsidR="00BF5D40" w:rsidRPr="002F384A" w:rsidRDefault="00BF5D40" w:rsidP="00A55508">
            <w:pPr>
              <w:spacing w:after="0" w:line="240" w:lineRule="auto"/>
              <w:ind w:right="-108"/>
              <w:jc w:val="center"/>
              <w:rPr>
                <w:rFonts w:ascii="Palatino Linotype" w:hAnsi="Palatino Linotype"/>
                <w:b/>
                <w:bCs/>
                <w:color w:val="000000"/>
                <w:sz w:val="16"/>
                <w:szCs w:val="18"/>
                <w:lang w:eastAsia="id-ID"/>
              </w:rPr>
            </w:pPr>
            <w:r w:rsidRPr="002F384A">
              <w:rPr>
                <w:rFonts w:ascii="Palatino Linotype" w:hAnsi="Palatino Linotype"/>
                <w:b/>
                <w:bCs/>
                <w:color w:val="000000"/>
                <w:sz w:val="16"/>
                <w:szCs w:val="18"/>
                <w:lang w:eastAsia="id-ID"/>
              </w:rPr>
              <w:t>Tanjung Jabung Barat</w:t>
            </w:r>
          </w:p>
        </w:tc>
        <w:tc>
          <w:tcPr>
            <w:tcW w:w="709" w:type="dxa"/>
            <w:tcBorders>
              <w:top w:val="single" w:sz="4" w:space="0" w:color="auto"/>
              <w:bottom w:val="single" w:sz="4" w:space="0" w:color="auto"/>
            </w:tcBorders>
            <w:shd w:val="clear" w:color="000000" w:fill="FFFFFF"/>
            <w:vAlign w:val="center"/>
            <w:hideMark/>
          </w:tcPr>
          <w:p w:rsidR="00BF5D40" w:rsidRPr="002F384A" w:rsidRDefault="00BF5D40" w:rsidP="00A55508">
            <w:pPr>
              <w:spacing w:after="0" w:line="240" w:lineRule="auto"/>
              <w:ind w:left="-134" w:right="-94"/>
              <w:jc w:val="center"/>
              <w:rPr>
                <w:rFonts w:ascii="Palatino Linotype" w:hAnsi="Palatino Linotype"/>
                <w:b/>
                <w:bCs/>
                <w:color w:val="000000"/>
                <w:sz w:val="16"/>
                <w:szCs w:val="18"/>
                <w:lang w:eastAsia="id-ID"/>
              </w:rPr>
            </w:pPr>
            <w:r w:rsidRPr="002F384A">
              <w:rPr>
                <w:rFonts w:ascii="Palatino Linotype" w:hAnsi="Palatino Linotype"/>
                <w:b/>
                <w:bCs/>
                <w:color w:val="000000"/>
                <w:sz w:val="16"/>
                <w:szCs w:val="18"/>
                <w:lang w:eastAsia="id-ID"/>
              </w:rPr>
              <w:t>Tanjung Jabung Timur</w:t>
            </w:r>
          </w:p>
        </w:tc>
        <w:tc>
          <w:tcPr>
            <w:tcW w:w="585" w:type="dxa"/>
            <w:tcBorders>
              <w:top w:val="single" w:sz="4" w:space="0" w:color="auto"/>
              <w:bottom w:val="single" w:sz="4" w:space="0" w:color="auto"/>
            </w:tcBorders>
            <w:shd w:val="clear" w:color="000000" w:fill="FFFFFF"/>
            <w:noWrap/>
            <w:vAlign w:val="center"/>
            <w:hideMark/>
          </w:tcPr>
          <w:p w:rsidR="00BF5D40" w:rsidRPr="002F384A" w:rsidRDefault="00BF5D40" w:rsidP="00A55508">
            <w:pPr>
              <w:spacing w:after="0" w:line="240" w:lineRule="auto"/>
              <w:ind w:left="-97" w:right="-73"/>
              <w:jc w:val="center"/>
              <w:rPr>
                <w:rFonts w:ascii="Palatino Linotype" w:hAnsi="Palatino Linotype"/>
                <w:b/>
                <w:bCs/>
                <w:color w:val="000000"/>
                <w:sz w:val="16"/>
                <w:szCs w:val="18"/>
                <w:lang w:eastAsia="id-ID"/>
              </w:rPr>
            </w:pPr>
            <w:r w:rsidRPr="002F384A">
              <w:rPr>
                <w:rFonts w:ascii="Palatino Linotype" w:hAnsi="Palatino Linotype"/>
                <w:b/>
                <w:bCs/>
                <w:color w:val="000000"/>
                <w:sz w:val="16"/>
                <w:szCs w:val="18"/>
                <w:lang w:eastAsia="id-ID"/>
              </w:rPr>
              <w:t>Bungo</w:t>
            </w:r>
          </w:p>
        </w:tc>
        <w:tc>
          <w:tcPr>
            <w:tcW w:w="418" w:type="dxa"/>
            <w:tcBorders>
              <w:top w:val="single" w:sz="4" w:space="0" w:color="auto"/>
              <w:bottom w:val="single" w:sz="4" w:space="0" w:color="auto"/>
            </w:tcBorders>
            <w:shd w:val="clear" w:color="000000" w:fill="FFFFFF"/>
            <w:noWrap/>
            <w:vAlign w:val="center"/>
            <w:hideMark/>
          </w:tcPr>
          <w:p w:rsidR="00BF5D40" w:rsidRPr="002F384A" w:rsidRDefault="00BF5D40" w:rsidP="00A55508">
            <w:pPr>
              <w:spacing w:after="0" w:line="240" w:lineRule="auto"/>
              <w:ind w:left="-143" w:right="-144"/>
              <w:jc w:val="center"/>
              <w:rPr>
                <w:rFonts w:ascii="Palatino Linotype" w:hAnsi="Palatino Linotype"/>
                <w:b/>
                <w:bCs/>
                <w:color w:val="000000"/>
                <w:sz w:val="16"/>
                <w:szCs w:val="18"/>
                <w:lang w:eastAsia="id-ID"/>
              </w:rPr>
            </w:pPr>
            <w:r w:rsidRPr="002F384A">
              <w:rPr>
                <w:rFonts w:ascii="Palatino Linotype" w:hAnsi="Palatino Linotype"/>
                <w:b/>
                <w:bCs/>
                <w:color w:val="000000"/>
                <w:sz w:val="16"/>
                <w:szCs w:val="18"/>
                <w:lang w:eastAsia="id-ID"/>
              </w:rPr>
              <w:t>Tebo</w:t>
            </w:r>
          </w:p>
        </w:tc>
        <w:tc>
          <w:tcPr>
            <w:tcW w:w="597" w:type="dxa"/>
            <w:tcBorders>
              <w:top w:val="single" w:sz="4" w:space="0" w:color="auto"/>
              <w:bottom w:val="single" w:sz="4" w:space="0" w:color="auto"/>
            </w:tcBorders>
            <w:shd w:val="clear" w:color="000000" w:fill="FFFFFF"/>
            <w:vAlign w:val="center"/>
            <w:hideMark/>
          </w:tcPr>
          <w:p w:rsidR="00BF5D40" w:rsidRPr="002F384A" w:rsidRDefault="00BF5D40" w:rsidP="00A55508">
            <w:pPr>
              <w:spacing w:after="0" w:line="240" w:lineRule="auto"/>
              <w:ind w:right="-109"/>
              <w:jc w:val="center"/>
              <w:rPr>
                <w:rFonts w:ascii="Palatino Linotype" w:hAnsi="Palatino Linotype"/>
                <w:b/>
                <w:bCs/>
                <w:color w:val="000000"/>
                <w:sz w:val="16"/>
                <w:szCs w:val="18"/>
                <w:lang w:eastAsia="id-ID"/>
              </w:rPr>
            </w:pPr>
            <w:r w:rsidRPr="002F384A">
              <w:rPr>
                <w:rFonts w:ascii="Palatino Linotype" w:hAnsi="Palatino Linotype"/>
                <w:b/>
                <w:bCs/>
                <w:color w:val="000000"/>
                <w:sz w:val="16"/>
                <w:szCs w:val="18"/>
                <w:lang w:eastAsia="id-ID"/>
              </w:rPr>
              <w:t>Kota Jambi</w:t>
            </w:r>
          </w:p>
        </w:tc>
        <w:tc>
          <w:tcPr>
            <w:tcW w:w="679" w:type="dxa"/>
            <w:tcBorders>
              <w:top w:val="single" w:sz="4" w:space="0" w:color="auto"/>
              <w:bottom w:val="single" w:sz="4" w:space="0" w:color="auto"/>
            </w:tcBorders>
            <w:shd w:val="clear" w:color="000000" w:fill="FFFFFF"/>
            <w:vAlign w:val="center"/>
            <w:hideMark/>
          </w:tcPr>
          <w:p w:rsidR="00BF5D40" w:rsidRPr="002F384A" w:rsidRDefault="00BF5D40" w:rsidP="00A55508">
            <w:pPr>
              <w:spacing w:after="0" w:line="240" w:lineRule="auto"/>
              <w:ind w:left="-138" w:right="-78"/>
              <w:jc w:val="center"/>
              <w:rPr>
                <w:rFonts w:ascii="Palatino Linotype" w:hAnsi="Palatino Linotype"/>
                <w:b/>
                <w:bCs/>
                <w:color w:val="000000"/>
                <w:sz w:val="16"/>
                <w:szCs w:val="18"/>
                <w:lang w:eastAsia="id-ID"/>
              </w:rPr>
            </w:pPr>
            <w:r w:rsidRPr="002F384A">
              <w:rPr>
                <w:rFonts w:ascii="Palatino Linotype" w:hAnsi="Palatino Linotype"/>
                <w:b/>
                <w:bCs/>
                <w:color w:val="000000"/>
                <w:sz w:val="16"/>
                <w:szCs w:val="18"/>
                <w:lang w:eastAsia="id-ID"/>
              </w:rPr>
              <w:t>Kota Sungai Penuh</w:t>
            </w:r>
          </w:p>
        </w:tc>
      </w:tr>
      <w:tr w:rsidR="00BF5D40" w:rsidRPr="009D6D0F" w:rsidTr="00A55508">
        <w:trPr>
          <w:trHeight w:val="315"/>
        </w:trPr>
        <w:tc>
          <w:tcPr>
            <w:tcW w:w="628" w:type="dxa"/>
            <w:tcBorders>
              <w:top w:val="single" w:sz="4" w:space="0" w:color="auto"/>
            </w:tcBorders>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A.</w:t>
            </w:r>
          </w:p>
        </w:tc>
        <w:tc>
          <w:tcPr>
            <w:tcW w:w="1510" w:type="dxa"/>
            <w:tcBorders>
              <w:top w:val="single" w:sz="4" w:space="0" w:color="auto"/>
            </w:tcBorders>
            <w:shd w:val="clear" w:color="auto" w:fill="auto"/>
            <w:noWrap/>
            <w:vAlign w:val="bottom"/>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Agriculture, Forestry and Fishery</w:t>
            </w:r>
          </w:p>
        </w:tc>
        <w:tc>
          <w:tcPr>
            <w:tcW w:w="729" w:type="dxa"/>
            <w:tcBorders>
              <w:top w:val="single" w:sz="4" w:space="0" w:color="auto"/>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tcBorders>
              <w:top w:val="single" w:sz="4" w:space="0" w:color="auto"/>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tcBorders>
              <w:top w:val="single" w:sz="4" w:space="0" w:color="auto"/>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tcBorders>
              <w:top w:val="single" w:sz="4" w:space="0" w:color="auto"/>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tcBorders>
              <w:top w:val="single" w:sz="4" w:space="0" w:color="auto"/>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tcBorders>
              <w:top w:val="single" w:sz="4" w:space="0" w:color="auto"/>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tcBorders>
              <w:top w:val="single" w:sz="4" w:space="0" w:color="auto"/>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tcBorders>
              <w:top w:val="single" w:sz="4" w:space="0" w:color="auto"/>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tcBorders>
              <w:top w:val="single" w:sz="4" w:space="0" w:color="auto"/>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tcBorders>
              <w:top w:val="single" w:sz="4" w:space="0" w:color="auto"/>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tcBorders>
              <w:top w:val="single" w:sz="4" w:space="0" w:color="auto"/>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136"/>
        </w:trPr>
        <w:tc>
          <w:tcPr>
            <w:tcW w:w="628" w:type="dxa"/>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B.</w:t>
            </w:r>
          </w:p>
        </w:tc>
        <w:tc>
          <w:tcPr>
            <w:tcW w:w="1510" w:type="dxa"/>
            <w:shd w:val="clear" w:color="auto" w:fill="auto"/>
            <w:noWrap/>
            <w:vAlign w:val="bottom"/>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Mining and Quarrying</w:t>
            </w:r>
          </w:p>
        </w:tc>
        <w:tc>
          <w:tcPr>
            <w:tcW w:w="72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shd w:val="clear" w:color="000000" w:fill="FFFFFF"/>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181"/>
        </w:trPr>
        <w:tc>
          <w:tcPr>
            <w:tcW w:w="628" w:type="dxa"/>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C.</w:t>
            </w:r>
          </w:p>
        </w:tc>
        <w:tc>
          <w:tcPr>
            <w:tcW w:w="1510" w:type="dxa"/>
            <w:shd w:val="clear" w:color="auto" w:fill="auto"/>
            <w:noWrap/>
            <w:vAlign w:val="bottom"/>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Manufacturing Industry</w:t>
            </w:r>
          </w:p>
        </w:tc>
        <w:tc>
          <w:tcPr>
            <w:tcW w:w="72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86"/>
        </w:trPr>
        <w:tc>
          <w:tcPr>
            <w:tcW w:w="628" w:type="dxa"/>
            <w:tcBorders>
              <w:bottom w:val="nil"/>
            </w:tcBorders>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D.</w:t>
            </w:r>
          </w:p>
        </w:tc>
        <w:tc>
          <w:tcPr>
            <w:tcW w:w="1510" w:type="dxa"/>
            <w:tcBorders>
              <w:bottom w:val="nil"/>
            </w:tcBorders>
            <w:shd w:val="clear" w:color="auto" w:fill="auto"/>
            <w:noWrap/>
            <w:vAlign w:val="bottom"/>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Electricity and Gas</w:t>
            </w:r>
          </w:p>
        </w:tc>
        <w:tc>
          <w:tcPr>
            <w:tcW w:w="729" w:type="dxa"/>
            <w:tcBorders>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tcBorders>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tcBorders>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tcBorders>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tcBorders>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tcBorders>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tcBorders>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tcBorders>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tcBorders>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tcBorders>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tcBorders>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273"/>
        </w:trPr>
        <w:tc>
          <w:tcPr>
            <w:tcW w:w="628" w:type="dxa"/>
            <w:tcBorders>
              <w:top w:val="nil"/>
              <w:bottom w:val="nil"/>
            </w:tcBorders>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E.</w:t>
            </w:r>
          </w:p>
        </w:tc>
        <w:tc>
          <w:tcPr>
            <w:tcW w:w="1510" w:type="dxa"/>
            <w:tcBorders>
              <w:top w:val="nil"/>
              <w:bottom w:val="nil"/>
            </w:tcBorders>
            <w:shd w:val="clear" w:color="auto" w:fill="auto"/>
            <w:vAlign w:val="center"/>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 xml:space="preserve">Water supply, Sewerage, Waste Management and Remediation </w:t>
            </w:r>
            <w:r w:rsidRPr="009D6D0F">
              <w:rPr>
                <w:rFonts w:ascii="Palatino Linotype" w:hAnsi="Palatino Linotype"/>
                <w:color w:val="000000"/>
                <w:sz w:val="18"/>
                <w:szCs w:val="18"/>
                <w:lang w:eastAsia="id-ID"/>
              </w:rPr>
              <w:lastRenderedPageBreak/>
              <w:t>Activities</w:t>
            </w:r>
          </w:p>
        </w:tc>
        <w:tc>
          <w:tcPr>
            <w:tcW w:w="729" w:type="dxa"/>
            <w:tcBorders>
              <w:top w:val="nil"/>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lastRenderedPageBreak/>
              <w:t>√</w:t>
            </w:r>
          </w:p>
        </w:tc>
        <w:tc>
          <w:tcPr>
            <w:tcW w:w="819" w:type="dxa"/>
            <w:tcBorders>
              <w:top w:val="nil"/>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tcBorders>
              <w:top w:val="nil"/>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tcBorders>
              <w:top w:val="nil"/>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tcBorders>
              <w:top w:val="nil"/>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tcBorders>
              <w:top w:val="nil"/>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tcBorders>
              <w:top w:val="nil"/>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tcBorders>
              <w:top w:val="nil"/>
              <w:bottom w:val="nil"/>
            </w:tcBorders>
            <w:shd w:val="clear" w:color="000000" w:fill="FFFFFF"/>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tcBorders>
              <w:top w:val="nil"/>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tcBorders>
              <w:top w:val="nil"/>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tcBorders>
              <w:top w:val="nil"/>
              <w:bottom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224"/>
        </w:trPr>
        <w:tc>
          <w:tcPr>
            <w:tcW w:w="628" w:type="dxa"/>
            <w:tcBorders>
              <w:top w:val="nil"/>
            </w:tcBorders>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lastRenderedPageBreak/>
              <w:t>F.</w:t>
            </w:r>
          </w:p>
        </w:tc>
        <w:tc>
          <w:tcPr>
            <w:tcW w:w="1510" w:type="dxa"/>
            <w:tcBorders>
              <w:top w:val="nil"/>
            </w:tcBorders>
            <w:shd w:val="clear" w:color="auto" w:fill="auto"/>
            <w:noWrap/>
            <w:vAlign w:val="bottom"/>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Construction</w:t>
            </w:r>
          </w:p>
        </w:tc>
        <w:tc>
          <w:tcPr>
            <w:tcW w:w="729" w:type="dxa"/>
            <w:tcBorders>
              <w:top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tcBorders>
              <w:top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tcBorders>
              <w:top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tcBorders>
              <w:top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tcBorders>
              <w:top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tcBorders>
              <w:top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tcBorders>
              <w:top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tcBorders>
              <w:top w:val="nil"/>
            </w:tcBorders>
            <w:shd w:val="clear" w:color="000000" w:fill="FFFFFF"/>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tcBorders>
              <w:top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tcBorders>
              <w:top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tcBorders>
              <w:top w:val="nil"/>
            </w:tcBorders>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398"/>
        </w:trPr>
        <w:tc>
          <w:tcPr>
            <w:tcW w:w="628" w:type="dxa"/>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G.</w:t>
            </w:r>
          </w:p>
        </w:tc>
        <w:tc>
          <w:tcPr>
            <w:tcW w:w="1510" w:type="dxa"/>
            <w:shd w:val="clear" w:color="auto" w:fill="auto"/>
            <w:vAlign w:val="center"/>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 xml:space="preserve">Wholesale and Retail Trade; Repair of Motor Vehicles and Motorcycles </w:t>
            </w:r>
          </w:p>
        </w:tc>
        <w:tc>
          <w:tcPr>
            <w:tcW w:w="72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shd w:val="clear" w:color="000000" w:fill="FFFFFF"/>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70"/>
        </w:trPr>
        <w:tc>
          <w:tcPr>
            <w:tcW w:w="628" w:type="dxa"/>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H.</w:t>
            </w:r>
          </w:p>
        </w:tc>
        <w:tc>
          <w:tcPr>
            <w:tcW w:w="1510" w:type="dxa"/>
            <w:shd w:val="clear" w:color="auto" w:fill="auto"/>
            <w:noWrap/>
            <w:vAlign w:val="bottom"/>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Transportation and Storage</w:t>
            </w:r>
          </w:p>
        </w:tc>
        <w:tc>
          <w:tcPr>
            <w:tcW w:w="72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70"/>
        </w:trPr>
        <w:tc>
          <w:tcPr>
            <w:tcW w:w="628" w:type="dxa"/>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I.</w:t>
            </w:r>
          </w:p>
        </w:tc>
        <w:tc>
          <w:tcPr>
            <w:tcW w:w="1510" w:type="dxa"/>
            <w:shd w:val="clear" w:color="auto" w:fill="auto"/>
            <w:vAlign w:val="center"/>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Accomodation and Food Services Activity</w:t>
            </w:r>
          </w:p>
        </w:tc>
        <w:tc>
          <w:tcPr>
            <w:tcW w:w="72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shd w:val="clear" w:color="000000" w:fill="FFFFFF"/>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134"/>
        </w:trPr>
        <w:tc>
          <w:tcPr>
            <w:tcW w:w="628" w:type="dxa"/>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J.</w:t>
            </w:r>
          </w:p>
        </w:tc>
        <w:tc>
          <w:tcPr>
            <w:tcW w:w="1510" w:type="dxa"/>
            <w:shd w:val="clear" w:color="auto" w:fill="auto"/>
            <w:noWrap/>
            <w:vAlign w:val="bottom"/>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Information and Communication</w:t>
            </w:r>
          </w:p>
        </w:tc>
        <w:tc>
          <w:tcPr>
            <w:tcW w:w="72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shd w:val="clear" w:color="000000" w:fill="FFFFFF"/>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70"/>
        </w:trPr>
        <w:tc>
          <w:tcPr>
            <w:tcW w:w="62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1510" w:type="dxa"/>
            <w:shd w:val="clear" w:color="auto" w:fill="auto"/>
            <w:noWrap/>
            <w:vAlign w:val="bottom"/>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Financial Services and Insurances</w:t>
            </w:r>
          </w:p>
        </w:tc>
        <w:tc>
          <w:tcPr>
            <w:tcW w:w="72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shd w:val="clear" w:color="000000" w:fill="FFFFFF"/>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p>
        </w:tc>
        <w:tc>
          <w:tcPr>
            <w:tcW w:w="59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70"/>
        </w:trPr>
        <w:tc>
          <w:tcPr>
            <w:tcW w:w="628" w:type="dxa"/>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L.</w:t>
            </w:r>
          </w:p>
        </w:tc>
        <w:tc>
          <w:tcPr>
            <w:tcW w:w="1510" w:type="dxa"/>
            <w:shd w:val="clear" w:color="auto" w:fill="auto"/>
            <w:noWrap/>
            <w:vAlign w:val="bottom"/>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Real Estate</w:t>
            </w:r>
          </w:p>
        </w:tc>
        <w:tc>
          <w:tcPr>
            <w:tcW w:w="72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shd w:val="clear" w:color="000000" w:fill="FFFFFF"/>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116"/>
        </w:trPr>
        <w:tc>
          <w:tcPr>
            <w:tcW w:w="628" w:type="dxa"/>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M,N.</w:t>
            </w:r>
          </w:p>
        </w:tc>
        <w:tc>
          <w:tcPr>
            <w:tcW w:w="1510" w:type="dxa"/>
            <w:shd w:val="clear" w:color="auto" w:fill="auto"/>
            <w:noWrap/>
            <w:vAlign w:val="bottom"/>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Business Activities</w:t>
            </w:r>
          </w:p>
        </w:tc>
        <w:tc>
          <w:tcPr>
            <w:tcW w:w="72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273"/>
        </w:trPr>
        <w:tc>
          <w:tcPr>
            <w:tcW w:w="628" w:type="dxa"/>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O.</w:t>
            </w:r>
          </w:p>
        </w:tc>
        <w:tc>
          <w:tcPr>
            <w:tcW w:w="1510" w:type="dxa"/>
            <w:shd w:val="clear" w:color="auto" w:fill="auto"/>
            <w:vAlign w:val="center"/>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Public Administration and Defence; Compulsory Social Security</w:t>
            </w:r>
          </w:p>
        </w:tc>
        <w:tc>
          <w:tcPr>
            <w:tcW w:w="72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70"/>
        </w:trPr>
        <w:tc>
          <w:tcPr>
            <w:tcW w:w="628" w:type="dxa"/>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P.</w:t>
            </w:r>
          </w:p>
        </w:tc>
        <w:tc>
          <w:tcPr>
            <w:tcW w:w="1510" w:type="dxa"/>
            <w:shd w:val="clear" w:color="auto" w:fill="auto"/>
            <w:noWrap/>
            <w:vAlign w:val="bottom"/>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Education</w:t>
            </w:r>
          </w:p>
        </w:tc>
        <w:tc>
          <w:tcPr>
            <w:tcW w:w="72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p>
        </w:tc>
        <w:tc>
          <w:tcPr>
            <w:tcW w:w="67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shd w:val="clear" w:color="000000" w:fill="FFFFFF"/>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217"/>
        </w:trPr>
        <w:tc>
          <w:tcPr>
            <w:tcW w:w="628" w:type="dxa"/>
            <w:shd w:val="clear" w:color="auto" w:fill="auto"/>
            <w:noWrap/>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Q.</w:t>
            </w:r>
          </w:p>
        </w:tc>
        <w:tc>
          <w:tcPr>
            <w:tcW w:w="1510" w:type="dxa"/>
            <w:shd w:val="clear" w:color="auto" w:fill="auto"/>
            <w:noWrap/>
            <w:vAlign w:val="bottom"/>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Human Health and Social Work Activities</w:t>
            </w:r>
          </w:p>
        </w:tc>
        <w:tc>
          <w:tcPr>
            <w:tcW w:w="72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r w:rsidR="00BF5D40" w:rsidRPr="009D6D0F" w:rsidTr="00A55508">
        <w:trPr>
          <w:trHeight w:val="168"/>
        </w:trPr>
        <w:tc>
          <w:tcPr>
            <w:tcW w:w="628" w:type="dxa"/>
            <w:shd w:val="clear" w:color="auto" w:fill="auto"/>
            <w:noWrap/>
            <w:hideMark/>
          </w:tcPr>
          <w:p w:rsidR="00BF5D40" w:rsidRPr="009D6D0F" w:rsidRDefault="00BF5D40" w:rsidP="00A55508">
            <w:pPr>
              <w:spacing w:after="0" w:line="240" w:lineRule="auto"/>
              <w:ind w:left="-93" w:right="-96"/>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R,S,T,U</w:t>
            </w:r>
          </w:p>
        </w:tc>
        <w:tc>
          <w:tcPr>
            <w:tcW w:w="1510" w:type="dxa"/>
            <w:shd w:val="clear" w:color="auto" w:fill="auto"/>
            <w:noWrap/>
            <w:vAlign w:val="bottom"/>
            <w:hideMark/>
          </w:tcPr>
          <w:p w:rsidR="00BF5D40" w:rsidRPr="009D6D0F" w:rsidRDefault="00BF5D40" w:rsidP="00A55508">
            <w:pPr>
              <w:spacing w:after="0" w:line="240" w:lineRule="auto"/>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Other Services Activities</w:t>
            </w:r>
          </w:p>
        </w:tc>
        <w:tc>
          <w:tcPr>
            <w:tcW w:w="72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1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993"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6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80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70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85"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418"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597"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c>
          <w:tcPr>
            <w:tcW w:w="679" w:type="dxa"/>
            <w:shd w:val="clear" w:color="auto" w:fill="auto"/>
            <w:noWrap/>
            <w:vAlign w:val="center"/>
            <w:hideMark/>
          </w:tcPr>
          <w:p w:rsidR="00BF5D40" w:rsidRPr="009D6D0F" w:rsidRDefault="00BF5D40" w:rsidP="00A55508">
            <w:pPr>
              <w:spacing w:after="0" w:line="240" w:lineRule="auto"/>
              <w:jc w:val="center"/>
              <w:rPr>
                <w:rFonts w:ascii="Palatino Linotype" w:hAnsi="Palatino Linotype"/>
                <w:color w:val="000000"/>
                <w:sz w:val="18"/>
                <w:szCs w:val="18"/>
                <w:lang w:eastAsia="id-ID"/>
              </w:rPr>
            </w:pPr>
            <w:r w:rsidRPr="009D6D0F">
              <w:rPr>
                <w:rFonts w:ascii="Palatino Linotype" w:hAnsi="Palatino Linotype"/>
                <w:color w:val="000000"/>
                <w:sz w:val="18"/>
                <w:szCs w:val="18"/>
                <w:lang w:eastAsia="id-ID"/>
              </w:rPr>
              <w:t>√</w:t>
            </w:r>
          </w:p>
        </w:tc>
      </w:tr>
    </w:tbl>
    <w:p w:rsidR="00BF5D40" w:rsidRPr="002F384A" w:rsidRDefault="00BF5D40" w:rsidP="00BF5D40">
      <w:pPr>
        <w:rPr>
          <w:rFonts w:ascii="Palatino Linotype" w:hAnsi="Palatino Linotype"/>
          <w:sz w:val="20"/>
        </w:rPr>
      </w:pPr>
      <w:r w:rsidRPr="002F384A">
        <w:rPr>
          <w:rFonts w:ascii="Palatino Linotype" w:hAnsi="Palatino Linotype"/>
          <w:sz w:val="20"/>
        </w:rPr>
        <w:t>Source: BPS Provinsi Jambi, 2017</w:t>
      </w:r>
    </w:p>
    <w:p w:rsidR="00A94CB9" w:rsidRDefault="00A94CB9" w:rsidP="00BF5D40">
      <w:pPr>
        <w:spacing w:before="120"/>
        <w:ind w:left="284" w:hanging="284"/>
        <w:rPr>
          <w:rFonts w:ascii="Palatino Linotype" w:hAnsi="Palatino Linotype"/>
          <w:b/>
          <w:iCs/>
          <w:sz w:val="20"/>
          <w:szCs w:val="20"/>
        </w:rPr>
      </w:pPr>
    </w:p>
    <w:p w:rsidR="00A94CB9" w:rsidRDefault="00A94CB9" w:rsidP="00BF5D40">
      <w:pPr>
        <w:spacing w:before="120"/>
        <w:ind w:left="284" w:hanging="284"/>
        <w:rPr>
          <w:rFonts w:ascii="Palatino Linotype" w:hAnsi="Palatino Linotype"/>
          <w:b/>
          <w:iCs/>
          <w:sz w:val="20"/>
          <w:szCs w:val="20"/>
        </w:rPr>
      </w:pPr>
    </w:p>
    <w:p w:rsidR="00A94CB9" w:rsidRDefault="00A94CB9" w:rsidP="00BF5D40">
      <w:pPr>
        <w:spacing w:before="120"/>
        <w:ind w:left="284" w:hanging="284"/>
        <w:rPr>
          <w:rFonts w:ascii="Palatino Linotype" w:hAnsi="Palatino Linotype"/>
          <w:b/>
          <w:iCs/>
          <w:sz w:val="20"/>
          <w:szCs w:val="20"/>
        </w:rPr>
      </w:pPr>
    </w:p>
    <w:p w:rsidR="00A94CB9" w:rsidRDefault="00A94CB9" w:rsidP="00BF5D40">
      <w:pPr>
        <w:spacing w:before="120"/>
        <w:ind w:left="284" w:hanging="284"/>
        <w:rPr>
          <w:rFonts w:ascii="Palatino Linotype" w:hAnsi="Palatino Linotype"/>
          <w:b/>
          <w:iCs/>
          <w:sz w:val="20"/>
          <w:szCs w:val="20"/>
        </w:rPr>
      </w:pPr>
    </w:p>
    <w:p w:rsidR="00A94CB9" w:rsidRDefault="00A94CB9" w:rsidP="00BF5D40">
      <w:pPr>
        <w:spacing w:before="120"/>
        <w:ind w:left="284" w:hanging="284"/>
        <w:rPr>
          <w:rFonts w:ascii="Palatino Linotype" w:hAnsi="Palatino Linotype"/>
          <w:b/>
          <w:iCs/>
          <w:sz w:val="20"/>
          <w:szCs w:val="20"/>
        </w:rPr>
      </w:pPr>
    </w:p>
    <w:p w:rsidR="00A94CB9" w:rsidRDefault="00A94CB9" w:rsidP="00BF5D40">
      <w:pPr>
        <w:spacing w:before="120"/>
        <w:ind w:left="284" w:hanging="284"/>
        <w:rPr>
          <w:rFonts w:ascii="Palatino Linotype" w:hAnsi="Palatino Linotype"/>
          <w:b/>
          <w:iCs/>
          <w:sz w:val="20"/>
          <w:szCs w:val="20"/>
        </w:rPr>
      </w:pPr>
    </w:p>
    <w:p w:rsidR="00A94CB9" w:rsidRDefault="00A94CB9" w:rsidP="00BF5D40">
      <w:pPr>
        <w:spacing w:before="120"/>
        <w:ind w:left="284" w:hanging="284"/>
        <w:rPr>
          <w:rFonts w:ascii="Palatino Linotype" w:hAnsi="Palatino Linotype"/>
          <w:b/>
          <w:iCs/>
          <w:sz w:val="20"/>
          <w:szCs w:val="20"/>
        </w:rPr>
      </w:pPr>
    </w:p>
    <w:p w:rsidR="00A94CB9" w:rsidRDefault="00A94CB9" w:rsidP="00BF5D40">
      <w:pPr>
        <w:spacing w:before="120"/>
        <w:ind w:left="284" w:hanging="284"/>
        <w:rPr>
          <w:rFonts w:ascii="Palatino Linotype" w:hAnsi="Palatino Linotype"/>
          <w:b/>
          <w:iCs/>
          <w:sz w:val="20"/>
          <w:szCs w:val="20"/>
        </w:rPr>
      </w:pPr>
    </w:p>
    <w:p w:rsidR="00BF5D40" w:rsidRPr="00107A1B" w:rsidRDefault="00BF5D40" w:rsidP="00BF5D40">
      <w:pPr>
        <w:spacing w:before="120"/>
        <w:ind w:left="284" w:hanging="284"/>
        <w:rPr>
          <w:rFonts w:ascii="Palatino Linotype" w:hAnsi="Palatino Linotype"/>
          <w:b/>
          <w:sz w:val="20"/>
          <w:szCs w:val="20"/>
        </w:rPr>
      </w:pPr>
      <w:r w:rsidRPr="00873692">
        <w:rPr>
          <w:rFonts w:ascii="Palatino Linotype" w:hAnsi="Palatino Linotype"/>
          <w:b/>
          <w:iCs/>
          <w:sz w:val="20"/>
          <w:szCs w:val="20"/>
        </w:rPr>
        <w:lastRenderedPageBreak/>
        <w:t xml:space="preserve">D. </w:t>
      </w:r>
      <w:r w:rsidRPr="00873692">
        <w:rPr>
          <w:rFonts w:ascii="Palatino Linotype" w:hAnsi="Palatino Linotype"/>
          <w:b/>
          <w:sz w:val="20"/>
          <w:szCs w:val="20"/>
        </w:rPr>
        <w:t xml:space="preserve">ANALYSIS OF MSMEs SUPERIOR COMMODITY IN REGENCY / CITY IN JAMBI </w:t>
      </w:r>
      <w:r w:rsidRPr="00107A1B">
        <w:rPr>
          <w:rFonts w:ascii="Palatino Linotype" w:hAnsi="Palatino Linotype"/>
          <w:b/>
          <w:sz w:val="20"/>
          <w:szCs w:val="20"/>
        </w:rPr>
        <w:t>PROVINCE</w:t>
      </w:r>
    </w:p>
    <w:tbl>
      <w:tblPr>
        <w:tblpPr w:leftFromText="180" w:rightFromText="180" w:vertAnchor="page" w:horzAnchor="margin" w:tblpY="3826"/>
        <w:tblW w:w="4875" w:type="pct"/>
        <w:tblBorders>
          <w:top w:val="single" w:sz="4" w:space="0" w:color="auto"/>
          <w:bottom w:val="single" w:sz="4" w:space="0" w:color="auto"/>
        </w:tblBorders>
        <w:tblLayout w:type="fixed"/>
        <w:tblLook w:val="04A0"/>
      </w:tblPr>
      <w:tblGrid>
        <w:gridCol w:w="390"/>
        <w:gridCol w:w="1136"/>
        <w:gridCol w:w="699"/>
        <w:gridCol w:w="855"/>
        <w:gridCol w:w="993"/>
        <w:gridCol w:w="570"/>
        <w:gridCol w:w="568"/>
        <w:gridCol w:w="707"/>
        <w:gridCol w:w="707"/>
        <w:gridCol w:w="564"/>
        <w:gridCol w:w="424"/>
        <w:gridCol w:w="568"/>
        <w:gridCol w:w="833"/>
      </w:tblGrid>
      <w:tr w:rsidR="00BF5D40" w:rsidRPr="00D244BA" w:rsidTr="00A55508">
        <w:trPr>
          <w:trHeight w:val="284"/>
        </w:trPr>
        <w:tc>
          <w:tcPr>
            <w:tcW w:w="217" w:type="pct"/>
            <w:vMerge w:val="restart"/>
            <w:tcBorders>
              <w:top w:val="single" w:sz="4" w:space="0" w:color="auto"/>
            </w:tcBorders>
            <w:shd w:val="clear" w:color="auto" w:fill="auto"/>
            <w:noWrap/>
            <w:vAlign w:val="center"/>
            <w:hideMark/>
          </w:tcPr>
          <w:p w:rsidR="00BF5D40" w:rsidRPr="00D244BA" w:rsidRDefault="00BF5D40" w:rsidP="00A55508">
            <w:pPr>
              <w:spacing w:after="0" w:line="240" w:lineRule="auto"/>
              <w:ind w:left="-142" w:right="-187"/>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No</w:t>
            </w:r>
          </w:p>
        </w:tc>
        <w:tc>
          <w:tcPr>
            <w:tcW w:w="629" w:type="pct"/>
            <w:vMerge w:val="restart"/>
            <w:tcBorders>
              <w:top w:val="single" w:sz="4" w:space="0" w:color="auto"/>
            </w:tcBorders>
            <w:shd w:val="clear" w:color="auto" w:fill="auto"/>
            <w:vAlign w:val="center"/>
            <w:hideMark/>
          </w:tcPr>
          <w:p w:rsidR="00BF5D40" w:rsidRPr="00D244BA" w:rsidRDefault="00BF5D40" w:rsidP="00A55508">
            <w:pPr>
              <w:spacing w:after="0" w:line="240" w:lineRule="auto"/>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Name of commodity</w:t>
            </w:r>
          </w:p>
        </w:tc>
        <w:tc>
          <w:tcPr>
            <w:tcW w:w="388" w:type="pct"/>
            <w:tcBorders>
              <w:top w:val="single" w:sz="4" w:space="0" w:color="auto"/>
              <w:bottom w:val="single" w:sz="4" w:space="0" w:color="auto"/>
            </w:tcBorders>
            <w:shd w:val="clear" w:color="auto" w:fill="auto"/>
            <w:noWrap/>
            <w:vAlign w:val="center"/>
            <w:hideMark/>
          </w:tcPr>
          <w:p w:rsidR="00BF5D40" w:rsidRPr="00D244BA" w:rsidRDefault="00BF5D40" w:rsidP="00A55508">
            <w:pPr>
              <w:spacing w:after="0" w:line="240" w:lineRule="auto"/>
              <w:ind w:left="-71" w:right="-109"/>
              <w:jc w:val="center"/>
              <w:rPr>
                <w:rFonts w:ascii="Palatino Linotype" w:hAnsi="Palatino Linotype"/>
                <w:b/>
                <w:bCs/>
                <w:color w:val="000000"/>
                <w:sz w:val="16"/>
                <w:szCs w:val="16"/>
                <w:lang w:eastAsia="id-ID"/>
              </w:rPr>
            </w:pPr>
          </w:p>
        </w:tc>
        <w:tc>
          <w:tcPr>
            <w:tcW w:w="3765" w:type="pct"/>
            <w:gridSpan w:val="10"/>
            <w:tcBorders>
              <w:top w:val="single" w:sz="4" w:space="0" w:color="auto"/>
              <w:bottom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Regency / City</w:t>
            </w:r>
          </w:p>
        </w:tc>
      </w:tr>
      <w:tr w:rsidR="00BF5D40" w:rsidRPr="00D244BA" w:rsidTr="00A55508">
        <w:trPr>
          <w:trHeight w:val="284"/>
        </w:trPr>
        <w:tc>
          <w:tcPr>
            <w:tcW w:w="217" w:type="pct"/>
            <w:vMerge/>
            <w:tcBorders>
              <w:bottom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b/>
                <w:bCs/>
                <w:color w:val="000000"/>
                <w:sz w:val="16"/>
                <w:szCs w:val="16"/>
                <w:lang w:eastAsia="id-ID"/>
              </w:rPr>
            </w:pPr>
          </w:p>
        </w:tc>
        <w:tc>
          <w:tcPr>
            <w:tcW w:w="629" w:type="pct"/>
            <w:vMerge/>
            <w:tcBorders>
              <w:bottom w:val="single" w:sz="4" w:space="0" w:color="auto"/>
            </w:tcBorders>
            <w:shd w:val="clear" w:color="auto" w:fill="auto"/>
            <w:vAlign w:val="center"/>
            <w:hideMark/>
          </w:tcPr>
          <w:p w:rsidR="00BF5D40" w:rsidRPr="00D244BA" w:rsidRDefault="00BF5D40" w:rsidP="00A55508">
            <w:pPr>
              <w:spacing w:after="0" w:line="240" w:lineRule="auto"/>
              <w:jc w:val="center"/>
              <w:rPr>
                <w:rFonts w:ascii="Palatino Linotype" w:hAnsi="Palatino Linotype"/>
                <w:b/>
                <w:bCs/>
                <w:color w:val="000000"/>
                <w:sz w:val="16"/>
                <w:szCs w:val="16"/>
                <w:lang w:eastAsia="id-ID"/>
              </w:rPr>
            </w:pPr>
          </w:p>
        </w:tc>
        <w:tc>
          <w:tcPr>
            <w:tcW w:w="388" w:type="pct"/>
            <w:tcBorders>
              <w:top w:val="single" w:sz="4" w:space="0" w:color="auto"/>
              <w:bottom w:val="single" w:sz="4" w:space="0" w:color="auto"/>
            </w:tcBorders>
            <w:shd w:val="clear" w:color="auto" w:fill="auto"/>
            <w:noWrap/>
            <w:vAlign w:val="center"/>
            <w:hideMark/>
          </w:tcPr>
          <w:p w:rsidR="00BF5D40" w:rsidRPr="00D244BA" w:rsidRDefault="00BF5D40" w:rsidP="00A55508">
            <w:pPr>
              <w:spacing w:after="0" w:line="240" w:lineRule="auto"/>
              <w:ind w:left="-71" w:right="-109"/>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Kerinci</w:t>
            </w:r>
          </w:p>
        </w:tc>
        <w:tc>
          <w:tcPr>
            <w:tcW w:w="474" w:type="pct"/>
            <w:tcBorders>
              <w:top w:val="single" w:sz="4" w:space="0" w:color="auto"/>
              <w:bottom w:val="single" w:sz="4" w:space="0" w:color="auto"/>
            </w:tcBorders>
            <w:shd w:val="clear" w:color="auto" w:fill="auto"/>
            <w:noWrap/>
            <w:vAlign w:val="center"/>
            <w:hideMark/>
          </w:tcPr>
          <w:p w:rsidR="00BF5D40" w:rsidRPr="00D244BA" w:rsidRDefault="00BF5D40" w:rsidP="00A55508">
            <w:pPr>
              <w:spacing w:after="0" w:line="240" w:lineRule="auto"/>
              <w:ind w:left="-107" w:right="-107"/>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Merangin</w:t>
            </w:r>
          </w:p>
        </w:tc>
        <w:tc>
          <w:tcPr>
            <w:tcW w:w="551" w:type="pct"/>
            <w:tcBorders>
              <w:top w:val="single" w:sz="4" w:space="0" w:color="auto"/>
              <w:bottom w:val="single" w:sz="4" w:space="0" w:color="auto"/>
            </w:tcBorders>
            <w:shd w:val="clear" w:color="auto" w:fill="auto"/>
            <w:noWrap/>
            <w:vAlign w:val="center"/>
            <w:hideMark/>
          </w:tcPr>
          <w:p w:rsidR="00BF5D40" w:rsidRPr="00D244BA" w:rsidRDefault="00BF5D40" w:rsidP="00A55508">
            <w:pPr>
              <w:spacing w:after="0" w:line="240" w:lineRule="auto"/>
              <w:ind w:left="-114" w:right="-106"/>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Sarolangun</w:t>
            </w:r>
          </w:p>
        </w:tc>
        <w:tc>
          <w:tcPr>
            <w:tcW w:w="316" w:type="pct"/>
            <w:tcBorders>
              <w:top w:val="single" w:sz="4" w:space="0" w:color="auto"/>
              <w:bottom w:val="single" w:sz="4" w:space="0" w:color="auto"/>
            </w:tcBorders>
            <w:shd w:val="clear" w:color="auto" w:fill="auto"/>
            <w:noWrap/>
            <w:vAlign w:val="center"/>
            <w:hideMark/>
          </w:tcPr>
          <w:p w:rsidR="00BF5D40" w:rsidRPr="00D244BA" w:rsidRDefault="00BF5D40" w:rsidP="00A55508">
            <w:pPr>
              <w:spacing w:after="0" w:line="240" w:lineRule="auto"/>
              <w:ind w:left="-110" w:right="-106"/>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Batang Hari</w:t>
            </w:r>
          </w:p>
        </w:tc>
        <w:tc>
          <w:tcPr>
            <w:tcW w:w="315" w:type="pct"/>
            <w:tcBorders>
              <w:top w:val="single" w:sz="4" w:space="0" w:color="auto"/>
              <w:bottom w:val="single" w:sz="4" w:space="0" w:color="auto"/>
            </w:tcBorders>
            <w:shd w:val="clear" w:color="auto" w:fill="auto"/>
            <w:noWrap/>
            <w:vAlign w:val="center"/>
            <w:hideMark/>
          </w:tcPr>
          <w:p w:rsidR="00BF5D40" w:rsidRPr="00D244BA" w:rsidRDefault="00BF5D40" w:rsidP="00A55508">
            <w:pPr>
              <w:spacing w:after="0" w:line="240" w:lineRule="auto"/>
              <w:ind w:left="-107" w:right="-108"/>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Muaro Jambi</w:t>
            </w:r>
          </w:p>
        </w:tc>
        <w:tc>
          <w:tcPr>
            <w:tcW w:w="392" w:type="pct"/>
            <w:tcBorders>
              <w:top w:val="single" w:sz="4" w:space="0" w:color="auto"/>
              <w:bottom w:val="single" w:sz="4" w:space="0" w:color="auto"/>
            </w:tcBorders>
            <w:shd w:val="clear" w:color="auto" w:fill="auto"/>
            <w:vAlign w:val="center"/>
            <w:hideMark/>
          </w:tcPr>
          <w:p w:rsidR="00BF5D40" w:rsidRPr="00D244BA" w:rsidRDefault="00BF5D40" w:rsidP="00A55508">
            <w:pPr>
              <w:spacing w:after="0" w:line="240" w:lineRule="auto"/>
              <w:ind w:left="-116" w:right="-104"/>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Tanjung Jabung Barat</w:t>
            </w:r>
          </w:p>
        </w:tc>
        <w:tc>
          <w:tcPr>
            <w:tcW w:w="392" w:type="pct"/>
            <w:tcBorders>
              <w:top w:val="single" w:sz="4" w:space="0" w:color="auto"/>
              <w:bottom w:val="single" w:sz="4" w:space="0" w:color="auto"/>
            </w:tcBorders>
            <w:shd w:val="clear" w:color="auto" w:fill="auto"/>
            <w:vAlign w:val="center"/>
            <w:hideMark/>
          </w:tcPr>
          <w:p w:rsidR="00BF5D40" w:rsidRPr="00D244BA" w:rsidRDefault="00BF5D40" w:rsidP="00A55508">
            <w:pPr>
              <w:spacing w:after="0" w:line="240" w:lineRule="auto"/>
              <w:ind w:left="-110" w:right="-105"/>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Tanjung Jabung Timur</w:t>
            </w:r>
          </w:p>
        </w:tc>
        <w:tc>
          <w:tcPr>
            <w:tcW w:w="313" w:type="pct"/>
            <w:tcBorders>
              <w:top w:val="single" w:sz="4" w:space="0" w:color="auto"/>
              <w:bottom w:val="single" w:sz="4" w:space="0" w:color="auto"/>
            </w:tcBorders>
            <w:shd w:val="clear" w:color="auto" w:fill="auto"/>
            <w:noWrap/>
            <w:vAlign w:val="center"/>
            <w:hideMark/>
          </w:tcPr>
          <w:p w:rsidR="00BF5D40" w:rsidRPr="00D244BA" w:rsidRDefault="00BF5D40" w:rsidP="00A55508">
            <w:pPr>
              <w:spacing w:after="0" w:line="240" w:lineRule="auto"/>
              <w:ind w:left="-114" w:right="-107"/>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Bungo</w:t>
            </w:r>
          </w:p>
        </w:tc>
        <w:tc>
          <w:tcPr>
            <w:tcW w:w="235" w:type="pct"/>
            <w:tcBorders>
              <w:top w:val="single" w:sz="4" w:space="0" w:color="auto"/>
              <w:bottom w:val="single" w:sz="4" w:space="0" w:color="auto"/>
            </w:tcBorders>
            <w:shd w:val="clear" w:color="auto" w:fill="auto"/>
            <w:noWrap/>
            <w:vAlign w:val="center"/>
            <w:hideMark/>
          </w:tcPr>
          <w:p w:rsidR="00BF5D40" w:rsidRPr="00D244BA" w:rsidRDefault="00BF5D40" w:rsidP="00A55508">
            <w:pPr>
              <w:spacing w:after="0" w:line="240" w:lineRule="auto"/>
              <w:ind w:left="-112" w:right="-105"/>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Tebo</w:t>
            </w:r>
          </w:p>
        </w:tc>
        <w:tc>
          <w:tcPr>
            <w:tcW w:w="315" w:type="pct"/>
            <w:tcBorders>
              <w:top w:val="single" w:sz="4" w:space="0" w:color="auto"/>
              <w:bottom w:val="single" w:sz="4" w:space="0" w:color="auto"/>
            </w:tcBorders>
            <w:shd w:val="clear" w:color="auto" w:fill="auto"/>
            <w:noWrap/>
            <w:vAlign w:val="center"/>
            <w:hideMark/>
          </w:tcPr>
          <w:p w:rsidR="00BF5D40" w:rsidRPr="00D244BA" w:rsidRDefault="00BF5D40" w:rsidP="00A55508">
            <w:pPr>
              <w:spacing w:after="0" w:line="240" w:lineRule="auto"/>
              <w:ind w:left="-116" w:right="-104"/>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Kota Jambi</w:t>
            </w:r>
          </w:p>
        </w:tc>
        <w:tc>
          <w:tcPr>
            <w:tcW w:w="461" w:type="pct"/>
            <w:tcBorders>
              <w:top w:val="single" w:sz="4" w:space="0" w:color="auto"/>
              <w:bottom w:val="single" w:sz="4" w:space="0" w:color="auto"/>
            </w:tcBorders>
            <w:shd w:val="clear" w:color="auto" w:fill="auto"/>
            <w:vAlign w:val="center"/>
            <w:hideMark/>
          </w:tcPr>
          <w:p w:rsidR="00BF5D40" w:rsidRPr="00D244BA" w:rsidRDefault="00BF5D40" w:rsidP="00A55508">
            <w:pPr>
              <w:spacing w:after="0" w:line="240" w:lineRule="auto"/>
              <w:jc w:val="center"/>
              <w:rPr>
                <w:rFonts w:ascii="Palatino Linotype" w:hAnsi="Palatino Linotype"/>
                <w:b/>
                <w:bCs/>
                <w:color w:val="000000"/>
                <w:sz w:val="16"/>
                <w:szCs w:val="16"/>
                <w:lang w:eastAsia="id-ID"/>
              </w:rPr>
            </w:pPr>
            <w:r w:rsidRPr="00D244BA">
              <w:rPr>
                <w:rFonts w:ascii="Palatino Linotype" w:hAnsi="Palatino Linotype"/>
                <w:b/>
                <w:bCs/>
                <w:color w:val="000000"/>
                <w:sz w:val="16"/>
                <w:szCs w:val="16"/>
                <w:lang w:eastAsia="id-ID"/>
              </w:rPr>
              <w:t>Kota Sungai Penuh</w:t>
            </w:r>
          </w:p>
        </w:tc>
      </w:tr>
      <w:tr w:rsidR="00BF5D40" w:rsidRPr="00D244BA" w:rsidTr="00A55508">
        <w:trPr>
          <w:trHeight w:val="284"/>
        </w:trPr>
        <w:tc>
          <w:tcPr>
            <w:tcW w:w="217" w:type="pct"/>
            <w:tcBorders>
              <w:top w:val="single" w:sz="4" w:space="0" w:color="auto"/>
            </w:tcBorders>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1</w:t>
            </w:r>
          </w:p>
        </w:tc>
        <w:tc>
          <w:tcPr>
            <w:tcW w:w="629" w:type="pct"/>
            <w:tcBorders>
              <w:top w:val="single" w:sz="4" w:space="0" w:color="auto"/>
            </w:tcBorders>
            <w:shd w:val="clear" w:color="000000" w:fill="00B05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Wet Land Paddy</w:t>
            </w:r>
          </w:p>
        </w:tc>
        <w:tc>
          <w:tcPr>
            <w:tcW w:w="388"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r>
      <w:tr w:rsidR="00BF5D40" w:rsidRPr="00D244BA" w:rsidTr="00A55508">
        <w:trPr>
          <w:trHeight w:val="284"/>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2</w:t>
            </w:r>
          </w:p>
        </w:tc>
        <w:tc>
          <w:tcPr>
            <w:tcW w:w="629" w:type="pct"/>
            <w:shd w:val="clear" w:color="000000" w:fill="00B05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Dry Land Paddy</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89"/>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3</w:t>
            </w:r>
          </w:p>
        </w:tc>
        <w:tc>
          <w:tcPr>
            <w:tcW w:w="629" w:type="pct"/>
            <w:shd w:val="clear" w:color="000000" w:fill="00B05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Maize</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177"/>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4</w:t>
            </w:r>
          </w:p>
        </w:tc>
        <w:tc>
          <w:tcPr>
            <w:tcW w:w="629" w:type="pct"/>
            <w:shd w:val="clear" w:color="000000" w:fill="00B05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Soybean</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284"/>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5</w:t>
            </w:r>
          </w:p>
        </w:tc>
        <w:tc>
          <w:tcPr>
            <w:tcW w:w="629" w:type="pct"/>
            <w:shd w:val="clear" w:color="000000" w:fill="00B05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Peanuts</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284"/>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6</w:t>
            </w:r>
          </w:p>
        </w:tc>
        <w:tc>
          <w:tcPr>
            <w:tcW w:w="629" w:type="pct"/>
            <w:shd w:val="clear" w:color="000000" w:fill="00B05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Mungbean</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77"/>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7</w:t>
            </w:r>
          </w:p>
        </w:tc>
        <w:tc>
          <w:tcPr>
            <w:tcW w:w="629" w:type="pct"/>
            <w:shd w:val="clear" w:color="000000" w:fill="00B05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Cassava</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70"/>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8</w:t>
            </w:r>
          </w:p>
        </w:tc>
        <w:tc>
          <w:tcPr>
            <w:tcW w:w="629" w:type="pct"/>
            <w:shd w:val="clear" w:color="000000" w:fill="E46D0A"/>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Chili</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110"/>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9</w:t>
            </w:r>
          </w:p>
        </w:tc>
        <w:tc>
          <w:tcPr>
            <w:tcW w:w="629" w:type="pct"/>
            <w:shd w:val="clear" w:color="000000" w:fill="E46D0A"/>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Potato</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70"/>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10</w:t>
            </w:r>
          </w:p>
        </w:tc>
        <w:tc>
          <w:tcPr>
            <w:tcW w:w="629" w:type="pct"/>
            <w:shd w:val="clear" w:color="000000" w:fill="E46D0A"/>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Cabbage</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115"/>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11</w:t>
            </w:r>
          </w:p>
        </w:tc>
        <w:tc>
          <w:tcPr>
            <w:tcW w:w="629" w:type="pct"/>
            <w:shd w:val="clear" w:color="000000" w:fill="E46D0A"/>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Petai</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104"/>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12</w:t>
            </w:r>
          </w:p>
        </w:tc>
        <w:tc>
          <w:tcPr>
            <w:tcW w:w="629" w:type="pct"/>
            <w:shd w:val="clear" w:color="000000" w:fill="60497B"/>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Mango</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70"/>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13</w:t>
            </w:r>
          </w:p>
        </w:tc>
        <w:tc>
          <w:tcPr>
            <w:tcW w:w="629" w:type="pct"/>
            <w:shd w:val="clear" w:color="000000" w:fill="60497B"/>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Durian</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70"/>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14</w:t>
            </w:r>
          </w:p>
        </w:tc>
        <w:tc>
          <w:tcPr>
            <w:tcW w:w="629" w:type="pct"/>
            <w:shd w:val="clear" w:color="000000" w:fill="60497B"/>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Orange</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84"/>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15</w:t>
            </w:r>
          </w:p>
        </w:tc>
        <w:tc>
          <w:tcPr>
            <w:tcW w:w="629" w:type="pct"/>
            <w:shd w:val="clear" w:color="000000" w:fill="C0000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Karet</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284"/>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16</w:t>
            </w:r>
          </w:p>
        </w:tc>
        <w:tc>
          <w:tcPr>
            <w:tcW w:w="629" w:type="pct"/>
            <w:shd w:val="clear" w:color="000000" w:fill="C0000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Coconut</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284"/>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17</w:t>
            </w:r>
          </w:p>
        </w:tc>
        <w:tc>
          <w:tcPr>
            <w:tcW w:w="629" w:type="pct"/>
            <w:shd w:val="clear" w:color="000000" w:fill="C0000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Robusta Coffe</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126"/>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18</w:t>
            </w:r>
          </w:p>
        </w:tc>
        <w:tc>
          <w:tcPr>
            <w:tcW w:w="629" w:type="pct"/>
            <w:shd w:val="clear" w:color="000000" w:fill="C0000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Cocoa</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r>
      <w:tr w:rsidR="00BF5D40" w:rsidRPr="00D244BA" w:rsidTr="00A55508">
        <w:trPr>
          <w:trHeight w:val="72"/>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19</w:t>
            </w:r>
          </w:p>
        </w:tc>
        <w:tc>
          <w:tcPr>
            <w:tcW w:w="629" w:type="pct"/>
            <w:shd w:val="clear" w:color="000000" w:fill="C0000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Areca Nut</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r>
      <w:tr w:rsidR="00BF5D40" w:rsidRPr="00D244BA" w:rsidTr="00A55508">
        <w:trPr>
          <w:trHeight w:val="160"/>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20</w:t>
            </w:r>
          </w:p>
        </w:tc>
        <w:tc>
          <w:tcPr>
            <w:tcW w:w="629" w:type="pct"/>
            <w:shd w:val="clear" w:color="000000" w:fill="7F7F7F"/>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Cow</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r>
      <w:tr w:rsidR="00BF5D40" w:rsidRPr="00D244BA" w:rsidTr="00A55508">
        <w:trPr>
          <w:trHeight w:val="106"/>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21</w:t>
            </w:r>
          </w:p>
        </w:tc>
        <w:tc>
          <w:tcPr>
            <w:tcW w:w="629" w:type="pct"/>
            <w:shd w:val="clear" w:color="000000" w:fill="7F7F7F"/>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Buffalo</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r>
      <w:tr w:rsidR="00BF5D40" w:rsidRPr="00D244BA" w:rsidTr="00A55508">
        <w:trPr>
          <w:trHeight w:val="70"/>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22</w:t>
            </w:r>
          </w:p>
        </w:tc>
        <w:tc>
          <w:tcPr>
            <w:tcW w:w="629" w:type="pct"/>
            <w:shd w:val="clear" w:color="000000" w:fill="953735"/>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Goat</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r>
      <w:tr w:rsidR="00BF5D40" w:rsidRPr="00D244BA" w:rsidTr="00A55508">
        <w:trPr>
          <w:trHeight w:val="140"/>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23</w:t>
            </w:r>
          </w:p>
        </w:tc>
        <w:tc>
          <w:tcPr>
            <w:tcW w:w="629" w:type="pct"/>
            <w:shd w:val="clear" w:color="000000" w:fill="953735"/>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Sheep</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r>
      <w:tr w:rsidR="00BF5D40" w:rsidRPr="00D244BA" w:rsidTr="00A55508">
        <w:trPr>
          <w:trHeight w:val="113"/>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24</w:t>
            </w:r>
          </w:p>
        </w:tc>
        <w:tc>
          <w:tcPr>
            <w:tcW w:w="629" w:type="pct"/>
            <w:shd w:val="clear" w:color="000000" w:fill="948B54"/>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Duck</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r>
      <w:tr w:rsidR="00BF5D40" w:rsidRPr="00D244BA" w:rsidTr="00A55508">
        <w:trPr>
          <w:trHeight w:val="284"/>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25</w:t>
            </w:r>
          </w:p>
        </w:tc>
        <w:tc>
          <w:tcPr>
            <w:tcW w:w="629" w:type="pct"/>
            <w:shd w:val="clear" w:color="000000" w:fill="948B54"/>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Broiler</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r>
      <w:tr w:rsidR="00BF5D40" w:rsidRPr="00D244BA" w:rsidTr="00A55508">
        <w:trPr>
          <w:trHeight w:val="284"/>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26</w:t>
            </w:r>
          </w:p>
        </w:tc>
        <w:tc>
          <w:tcPr>
            <w:tcW w:w="629" w:type="pct"/>
            <w:shd w:val="clear" w:color="000000" w:fill="948B54"/>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Layer</w:t>
            </w:r>
          </w:p>
        </w:tc>
        <w:tc>
          <w:tcPr>
            <w:tcW w:w="388"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284"/>
        </w:trPr>
        <w:tc>
          <w:tcPr>
            <w:tcW w:w="217" w:type="pct"/>
            <w:tcBorders>
              <w:bottom w:val="nil"/>
            </w:tcBorders>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27</w:t>
            </w:r>
          </w:p>
        </w:tc>
        <w:tc>
          <w:tcPr>
            <w:tcW w:w="629" w:type="pct"/>
            <w:tcBorders>
              <w:bottom w:val="nil"/>
            </w:tcBorders>
            <w:shd w:val="clear" w:color="000000" w:fill="00B0F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Marine Fisheries</w:t>
            </w:r>
          </w:p>
        </w:tc>
        <w:tc>
          <w:tcPr>
            <w:tcW w:w="388"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284"/>
        </w:trPr>
        <w:tc>
          <w:tcPr>
            <w:tcW w:w="217" w:type="pct"/>
            <w:tcBorders>
              <w:top w:val="nil"/>
              <w:bottom w:val="single" w:sz="4" w:space="0" w:color="auto"/>
            </w:tcBorders>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28</w:t>
            </w:r>
          </w:p>
        </w:tc>
        <w:tc>
          <w:tcPr>
            <w:tcW w:w="629" w:type="pct"/>
            <w:tcBorders>
              <w:top w:val="nil"/>
              <w:bottom w:val="single" w:sz="4" w:space="0" w:color="auto"/>
            </w:tcBorders>
            <w:shd w:val="clear" w:color="000000" w:fill="00B0F0"/>
            <w:noWrap/>
            <w:vAlign w:val="center"/>
            <w:hideMark/>
          </w:tcPr>
          <w:p w:rsidR="00BF5D40" w:rsidRPr="00D244BA" w:rsidRDefault="00BF5D40" w:rsidP="00A55508">
            <w:pPr>
              <w:spacing w:after="0" w:line="240" w:lineRule="auto"/>
              <w:rPr>
                <w:rFonts w:ascii="Palatino Linotype" w:hAnsi="Palatino Linotype"/>
                <w:sz w:val="16"/>
                <w:szCs w:val="16"/>
                <w:lang w:eastAsia="id-ID"/>
              </w:rPr>
            </w:pPr>
            <w:r w:rsidRPr="00D244BA">
              <w:rPr>
                <w:rFonts w:ascii="Palatino Linotype" w:hAnsi="Palatino Linotype"/>
                <w:sz w:val="16"/>
                <w:szCs w:val="16"/>
                <w:lang w:eastAsia="id-ID"/>
              </w:rPr>
              <w:t>Terrestrial Fisheries</w:t>
            </w:r>
          </w:p>
        </w:tc>
        <w:tc>
          <w:tcPr>
            <w:tcW w:w="388" w:type="pct"/>
            <w:tcBorders>
              <w:top w:val="nil"/>
              <w:bottom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74" w:type="pct"/>
            <w:tcBorders>
              <w:top w:val="nil"/>
              <w:bottom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551" w:type="pct"/>
            <w:tcBorders>
              <w:top w:val="nil"/>
              <w:bottom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6" w:type="pct"/>
            <w:tcBorders>
              <w:top w:val="nil"/>
              <w:bottom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tcBorders>
              <w:top w:val="nil"/>
              <w:bottom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tcBorders>
              <w:top w:val="nil"/>
              <w:bottom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92" w:type="pct"/>
            <w:tcBorders>
              <w:top w:val="nil"/>
              <w:bottom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3" w:type="pct"/>
            <w:tcBorders>
              <w:top w:val="nil"/>
              <w:bottom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235" w:type="pct"/>
            <w:tcBorders>
              <w:top w:val="nil"/>
              <w:bottom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315" w:type="pct"/>
            <w:tcBorders>
              <w:top w:val="nil"/>
              <w:bottom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w:t>
            </w:r>
          </w:p>
        </w:tc>
        <w:tc>
          <w:tcPr>
            <w:tcW w:w="461" w:type="pct"/>
            <w:tcBorders>
              <w:top w:val="nil"/>
              <w:bottom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sz w:val="16"/>
                <w:szCs w:val="16"/>
              </w:rPr>
            </w:pPr>
            <w:r w:rsidRPr="00D244BA">
              <w:rPr>
                <w:rFonts w:ascii="Palatino Linotype" w:hAnsi="Palatino Linotype"/>
                <w:color w:val="000000"/>
                <w:sz w:val="16"/>
                <w:szCs w:val="16"/>
                <w:lang w:eastAsia="id-ID"/>
              </w:rPr>
              <w:t>−</w:t>
            </w:r>
          </w:p>
        </w:tc>
      </w:tr>
      <w:tr w:rsidR="00BF5D40" w:rsidRPr="00D244BA" w:rsidTr="00A55508">
        <w:trPr>
          <w:trHeight w:val="284"/>
        </w:trPr>
        <w:tc>
          <w:tcPr>
            <w:tcW w:w="847" w:type="pct"/>
            <w:gridSpan w:val="2"/>
            <w:tcBorders>
              <w:top w:val="single" w:sz="4" w:space="0" w:color="auto"/>
            </w:tcBorders>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r>
              <w:rPr>
                <w:rFonts w:ascii="Palatino Linotype" w:hAnsi="Palatino Linotype"/>
                <w:color w:val="000000"/>
                <w:sz w:val="16"/>
                <w:szCs w:val="16"/>
                <w:lang w:eastAsia="id-ID"/>
              </w:rPr>
              <w:t>Notes</w:t>
            </w:r>
            <w:r w:rsidRPr="00D244BA">
              <w:rPr>
                <w:rFonts w:ascii="Palatino Linotype" w:hAnsi="Palatino Linotype"/>
                <w:color w:val="000000"/>
                <w:sz w:val="16"/>
                <w:szCs w:val="16"/>
                <w:lang w:eastAsia="id-ID"/>
              </w:rPr>
              <w:t>:</w:t>
            </w:r>
          </w:p>
        </w:tc>
        <w:tc>
          <w:tcPr>
            <w:tcW w:w="388"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474"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551"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6"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5"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92"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92"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3"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35"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5"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461" w:type="pct"/>
            <w:tcBorders>
              <w:top w:val="single" w:sz="4" w:space="0" w:color="auto"/>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r>
      <w:tr w:rsidR="00BF5D40" w:rsidRPr="00D244BA" w:rsidTr="00A55508">
        <w:trPr>
          <w:trHeight w:val="98"/>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629" w:type="pct"/>
            <w:shd w:val="clear" w:color="000000" w:fill="92D050"/>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1729" w:type="pct"/>
            <w:gridSpan w:val="4"/>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 Regency in Superior Agricultural Sector</w:t>
            </w:r>
          </w:p>
        </w:tc>
        <w:tc>
          <w:tcPr>
            <w:tcW w:w="315" w:type="pct"/>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r>
      <w:tr w:rsidR="00BF5D40" w:rsidRPr="00D244BA" w:rsidTr="00A55508">
        <w:trPr>
          <w:trHeight w:val="200"/>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629" w:type="pct"/>
            <w:shd w:val="clear" w:color="000000" w:fill="FFFF00"/>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4153" w:type="pct"/>
            <w:gridSpan w:val="11"/>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 Regency that don’t in Superior Agricultural Sector</w:t>
            </w:r>
          </w:p>
        </w:tc>
      </w:tr>
      <w:tr w:rsidR="00BF5D40" w:rsidRPr="00D244BA" w:rsidTr="00A55508">
        <w:trPr>
          <w:trHeight w:val="132"/>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629" w:type="pct"/>
            <w:shd w:val="clear" w:color="000000" w:fill="FF0000"/>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1729" w:type="pct"/>
            <w:gridSpan w:val="4"/>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 Regency that don’t excel in the primary sector</w:t>
            </w:r>
          </w:p>
        </w:tc>
        <w:tc>
          <w:tcPr>
            <w:tcW w:w="315" w:type="pct"/>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r>
      <w:tr w:rsidR="00BF5D40" w:rsidRPr="00D244BA" w:rsidTr="00A55508">
        <w:trPr>
          <w:trHeight w:val="92"/>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629" w:type="pct"/>
            <w:shd w:val="clear" w:color="000000" w:fill="00B050"/>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044" w:type="pct"/>
            <w:gridSpan w:val="5"/>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 Crops</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r>
      <w:tr w:rsidR="00BF5D40" w:rsidRPr="00D244BA" w:rsidTr="00A55508">
        <w:trPr>
          <w:trHeight w:val="194"/>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629" w:type="pct"/>
            <w:shd w:val="clear" w:color="000000" w:fill="E46D0A"/>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044" w:type="pct"/>
            <w:gridSpan w:val="5"/>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 Horticulture (Vegetable Crops)</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r>
      <w:tr w:rsidR="00BF5D40" w:rsidRPr="00D244BA" w:rsidTr="00A55508">
        <w:trPr>
          <w:trHeight w:val="140"/>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629" w:type="pct"/>
            <w:shd w:val="clear" w:color="000000" w:fill="60497B"/>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044" w:type="pct"/>
            <w:gridSpan w:val="5"/>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 Horticulture (Fruit Plants)</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r>
      <w:tr w:rsidR="00BF5D40" w:rsidRPr="00D244BA" w:rsidTr="00A55508">
        <w:trPr>
          <w:trHeight w:val="114"/>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629" w:type="pct"/>
            <w:shd w:val="clear" w:color="000000" w:fill="C00000"/>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044" w:type="pct"/>
            <w:gridSpan w:val="5"/>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 Plantation</w:t>
            </w: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r>
      <w:tr w:rsidR="00BF5D40" w:rsidRPr="00D244BA" w:rsidTr="00A55508">
        <w:trPr>
          <w:trHeight w:val="202"/>
        </w:trPr>
        <w:tc>
          <w:tcPr>
            <w:tcW w:w="217" w:type="pct"/>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629" w:type="pct"/>
            <w:shd w:val="clear" w:color="000000" w:fill="7F7F7F"/>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862" w:type="pct"/>
            <w:gridSpan w:val="2"/>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 Big cattle</w:t>
            </w:r>
          </w:p>
        </w:tc>
        <w:tc>
          <w:tcPr>
            <w:tcW w:w="551" w:type="pct"/>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p>
        </w:tc>
        <w:tc>
          <w:tcPr>
            <w:tcW w:w="316" w:type="pct"/>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p>
        </w:tc>
        <w:tc>
          <w:tcPr>
            <w:tcW w:w="315" w:type="pct"/>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92"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3"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3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5"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461" w:type="pct"/>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r>
      <w:tr w:rsidR="00BF5D40" w:rsidRPr="00D244BA" w:rsidTr="00A55508">
        <w:trPr>
          <w:trHeight w:val="148"/>
        </w:trPr>
        <w:tc>
          <w:tcPr>
            <w:tcW w:w="217" w:type="pct"/>
            <w:tcBorders>
              <w:bottom w:val="nil"/>
            </w:tcBorders>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629" w:type="pct"/>
            <w:tcBorders>
              <w:bottom w:val="nil"/>
            </w:tcBorders>
            <w:shd w:val="clear" w:color="000000" w:fill="953735"/>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044" w:type="pct"/>
            <w:gridSpan w:val="5"/>
            <w:tcBorders>
              <w:bottom w:val="nil"/>
            </w:tcBorders>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 Small livestock</w:t>
            </w:r>
          </w:p>
        </w:tc>
        <w:tc>
          <w:tcPr>
            <w:tcW w:w="392"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92"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3"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35"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5"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461" w:type="pct"/>
            <w:tcBorders>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r>
      <w:tr w:rsidR="00BF5D40" w:rsidRPr="00D244BA" w:rsidTr="00A55508">
        <w:trPr>
          <w:trHeight w:val="108"/>
        </w:trPr>
        <w:tc>
          <w:tcPr>
            <w:tcW w:w="217" w:type="pct"/>
            <w:tcBorders>
              <w:top w:val="nil"/>
              <w:bottom w:val="nil"/>
            </w:tcBorders>
            <w:shd w:val="clear" w:color="auto" w:fill="auto"/>
            <w:noWrap/>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629" w:type="pct"/>
            <w:tcBorders>
              <w:top w:val="nil"/>
              <w:bottom w:val="nil"/>
            </w:tcBorders>
            <w:shd w:val="clear" w:color="000000" w:fill="948B54"/>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044" w:type="pct"/>
            <w:gridSpan w:val="5"/>
            <w:tcBorders>
              <w:top w:val="nil"/>
              <w:bottom w:val="nil"/>
            </w:tcBorders>
            <w:shd w:val="clear" w:color="auto" w:fill="auto"/>
            <w:noWrap/>
            <w:vAlign w:val="center"/>
            <w:hideMark/>
          </w:tcPr>
          <w:p w:rsidR="00BF5D40" w:rsidRPr="00D244BA" w:rsidRDefault="00BF5D40" w:rsidP="00A55508">
            <w:pPr>
              <w:spacing w:after="0" w:line="240" w:lineRule="auto"/>
              <w:rPr>
                <w:rFonts w:ascii="Palatino Linotype" w:hAnsi="Palatino Linotype"/>
                <w:color w:val="000000"/>
                <w:sz w:val="16"/>
                <w:szCs w:val="16"/>
                <w:lang w:eastAsia="id-ID"/>
              </w:rPr>
            </w:pPr>
            <w:r w:rsidRPr="00D244BA">
              <w:rPr>
                <w:rFonts w:ascii="Palatino Linotype" w:hAnsi="Palatino Linotype"/>
                <w:color w:val="000000"/>
                <w:sz w:val="16"/>
                <w:szCs w:val="16"/>
                <w:lang w:eastAsia="id-ID"/>
              </w:rPr>
              <w:t>: Poultry</w:t>
            </w:r>
          </w:p>
        </w:tc>
        <w:tc>
          <w:tcPr>
            <w:tcW w:w="392" w:type="pct"/>
            <w:tcBorders>
              <w:top w:val="nil"/>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92" w:type="pct"/>
            <w:tcBorders>
              <w:top w:val="nil"/>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3" w:type="pct"/>
            <w:tcBorders>
              <w:top w:val="nil"/>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235" w:type="pct"/>
            <w:tcBorders>
              <w:top w:val="nil"/>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315" w:type="pct"/>
            <w:tcBorders>
              <w:top w:val="nil"/>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c>
          <w:tcPr>
            <w:tcW w:w="461" w:type="pct"/>
            <w:tcBorders>
              <w:top w:val="nil"/>
              <w:bottom w:val="nil"/>
            </w:tcBorders>
            <w:shd w:val="clear" w:color="auto" w:fill="auto"/>
            <w:noWrap/>
            <w:vAlign w:val="center"/>
            <w:hideMark/>
          </w:tcPr>
          <w:p w:rsidR="00BF5D40" w:rsidRPr="00D244BA" w:rsidRDefault="00BF5D40" w:rsidP="00A55508">
            <w:pPr>
              <w:spacing w:after="0" w:line="240" w:lineRule="auto"/>
              <w:jc w:val="center"/>
              <w:rPr>
                <w:rFonts w:ascii="Palatino Linotype" w:hAnsi="Palatino Linotype"/>
                <w:color w:val="000000"/>
                <w:sz w:val="16"/>
                <w:szCs w:val="16"/>
                <w:lang w:eastAsia="id-ID"/>
              </w:rPr>
            </w:pPr>
          </w:p>
        </w:tc>
      </w:tr>
    </w:tbl>
    <w:p w:rsidR="00BF5D40" w:rsidRPr="00107A1B" w:rsidRDefault="00BF5D40" w:rsidP="00BF5D40">
      <w:pPr>
        <w:ind w:left="810" w:hanging="903"/>
        <w:jc w:val="both"/>
        <w:rPr>
          <w:rFonts w:ascii="Palatino Linotype" w:hAnsi="Palatino Linotype"/>
          <w:b/>
          <w:sz w:val="20"/>
          <w:szCs w:val="20"/>
        </w:rPr>
      </w:pPr>
      <w:r w:rsidRPr="00107A1B">
        <w:rPr>
          <w:rFonts w:ascii="Palatino Linotype" w:hAnsi="Palatino Linotype"/>
          <w:b/>
          <w:bCs/>
          <w:color w:val="000000"/>
          <w:sz w:val="20"/>
          <w:szCs w:val="20"/>
          <w:lang w:eastAsia="id-ID"/>
        </w:rPr>
        <w:t xml:space="preserve"> Tabel 7. </w:t>
      </w:r>
      <w:r w:rsidRPr="00107A1B">
        <w:rPr>
          <w:rFonts w:ascii="Palatino Linotype" w:hAnsi="Palatino Linotype"/>
          <w:b/>
          <w:sz w:val="20"/>
          <w:szCs w:val="20"/>
        </w:rPr>
        <w:t>Superior Commodity Recap Based on Production (LQ and CS)</w:t>
      </w:r>
    </w:p>
    <w:p w:rsidR="00BF5D40" w:rsidRPr="00107A1B" w:rsidRDefault="00BF5D40" w:rsidP="00BF5D40">
      <w:pPr>
        <w:rPr>
          <w:rFonts w:ascii="Palatino Linotype" w:hAnsi="Palatino Linotype"/>
        </w:rPr>
        <w:sectPr w:rsidR="00BF5D40" w:rsidRPr="00107A1B" w:rsidSect="000931D7">
          <w:type w:val="continuous"/>
          <w:pgSz w:w="11909" w:h="16834" w:code="9"/>
          <w:pgMar w:top="1440" w:right="1440" w:bottom="1440" w:left="1440" w:header="1440" w:footer="992" w:gutter="0"/>
          <w:pgNumType w:start="1"/>
          <w:cols w:space="285"/>
          <w:titlePg/>
          <w:docGrid w:linePitch="360"/>
        </w:sectPr>
      </w:pPr>
    </w:p>
    <w:p w:rsidR="00077E67" w:rsidRPr="00A94CB9" w:rsidRDefault="00077E67">
      <w:pPr>
        <w:spacing w:after="0" w:line="240" w:lineRule="auto"/>
        <w:jc w:val="both"/>
        <w:rPr>
          <w:rFonts w:ascii="Palatino Linotype" w:hAnsi="Palatino Linotype" w:cstheme="minorHAnsi"/>
          <w:b/>
          <w:sz w:val="28"/>
          <w:szCs w:val="24"/>
        </w:rPr>
        <w:sectPr w:rsidR="00077E67" w:rsidRPr="00A94CB9">
          <w:type w:val="continuous"/>
          <w:pgSz w:w="11906" w:h="16838"/>
          <w:pgMar w:top="1440" w:right="1440" w:bottom="1440" w:left="1440" w:header="568" w:footer="567" w:gutter="0"/>
          <w:cols w:space="708"/>
          <w:titlePg/>
          <w:docGrid w:linePitch="360"/>
        </w:sect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lastRenderedPageBreak/>
        <w:t>Conclusions</w:t>
      </w:r>
    </w:p>
    <w:p w:rsidR="00BF5D40" w:rsidRPr="007D7FF1" w:rsidRDefault="00BF5D40" w:rsidP="00BF5D40">
      <w:pPr>
        <w:pStyle w:val="ListParagraph"/>
        <w:numPr>
          <w:ilvl w:val="0"/>
          <w:numId w:val="11"/>
        </w:numPr>
        <w:spacing w:after="0" w:line="240" w:lineRule="auto"/>
        <w:ind w:left="426"/>
        <w:jc w:val="both"/>
        <w:rPr>
          <w:rFonts w:ascii="Palatino Linotype" w:hAnsi="Palatino Linotype" w:cstheme="minorHAnsi"/>
          <w:sz w:val="20"/>
          <w:szCs w:val="24"/>
          <w:lang w:val="en-US"/>
        </w:rPr>
      </w:pPr>
      <w:r w:rsidRPr="007D7FF1">
        <w:rPr>
          <w:rFonts w:ascii="Palatino Linotype" w:hAnsi="Palatino Linotype" w:cstheme="minorHAnsi"/>
          <w:sz w:val="20"/>
          <w:szCs w:val="24"/>
          <w:lang w:val="en-US"/>
        </w:rPr>
        <w:t>The development of MSMEs in the Regency / Municipality of Jambi Province during the period 2010-2015 shows an increasing trend. The average value of production grew by 69.47%, credit by 3.24%, total business by 4.84%, employment by 10.47%. While assets grew significantly by 144.76%.</w:t>
      </w:r>
    </w:p>
    <w:p w:rsidR="00BF5D40" w:rsidRPr="007D7FF1" w:rsidRDefault="00BF5D40" w:rsidP="00BF5D40">
      <w:pPr>
        <w:pStyle w:val="ListParagraph"/>
        <w:numPr>
          <w:ilvl w:val="0"/>
          <w:numId w:val="11"/>
        </w:numPr>
        <w:spacing w:after="0" w:line="240" w:lineRule="auto"/>
        <w:ind w:left="426"/>
        <w:jc w:val="both"/>
        <w:rPr>
          <w:rFonts w:ascii="Palatino Linotype" w:hAnsi="Palatino Linotype" w:cstheme="minorHAnsi"/>
          <w:sz w:val="20"/>
          <w:szCs w:val="24"/>
          <w:lang w:val="en-US"/>
        </w:rPr>
      </w:pPr>
      <w:r w:rsidRPr="007D7FF1">
        <w:rPr>
          <w:rFonts w:ascii="Palatino Linotype" w:hAnsi="Palatino Linotype" w:cstheme="minorHAnsi"/>
          <w:sz w:val="20"/>
          <w:szCs w:val="24"/>
          <w:lang w:val="en-US"/>
        </w:rPr>
        <w:t>Factors that significantly affect the value of production are MSME and asset loans. This shows that capital and assets are the dominant factor in increasing production value. The number of business and labor does not significantly affect the value of MSMES production.</w:t>
      </w:r>
    </w:p>
    <w:p w:rsidR="00BF5D40" w:rsidRPr="007D7FF1" w:rsidRDefault="00BF5D40" w:rsidP="00BF5D40">
      <w:pPr>
        <w:pStyle w:val="ListParagraph"/>
        <w:numPr>
          <w:ilvl w:val="0"/>
          <w:numId w:val="11"/>
        </w:numPr>
        <w:spacing w:after="0" w:line="240" w:lineRule="auto"/>
        <w:ind w:left="426"/>
        <w:jc w:val="both"/>
        <w:rPr>
          <w:rFonts w:ascii="Palatino Linotype" w:hAnsi="Palatino Linotype" w:cstheme="minorHAnsi"/>
          <w:sz w:val="20"/>
          <w:szCs w:val="24"/>
          <w:lang w:val="en-US"/>
        </w:rPr>
      </w:pPr>
      <w:r w:rsidRPr="007D7FF1">
        <w:rPr>
          <w:rFonts w:ascii="Palatino Linotype" w:hAnsi="Palatino Linotype" w:cstheme="minorHAnsi"/>
          <w:sz w:val="20"/>
          <w:szCs w:val="24"/>
          <w:lang w:val="en-US"/>
        </w:rPr>
        <w:t>The result of LQ analysis indicates that the sector which is the base sector (LQ&gt; 1) based on the use of labour varies between regencies / cities in Jambi Province. The major trade and retail sectors, car and motorcycle repairs and the education service sector is superior in almost all regencies. While based on agricultural production value, water procurement sector, waste management, construction sector, major trade and retail secotor, information and communication sector, government administration, defense and compulsory social security sector, education service sector, health service sector and social activies and other services is the superior sector in almost all regencies in Jambi province. Kerinci, Merangin, Bungom regency, Jambi City, and Sungai Penuh City have more than eight superior sectors.</w:t>
      </w:r>
    </w:p>
    <w:p w:rsidR="00BF5D40" w:rsidRPr="007D7FF1" w:rsidRDefault="00BF5D40" w:rsidP="00BF5D40">
      <w:pPr>
        <w:pStyle w:val="ListParagraph"/>
        <w:numPr>
          <w:ilvl w:val="0"/>
          <w:numId w:val="11"/>
        </w:numPr>
        <w:spacing w:after="0" w:line="240" w:lineRule="auto"/>
        <w:ind w:left="426"/>
        <w:jc w:val="both"/>
        <w:rPr>
          <w:rFonts w:ascii="Palatino Linotype" w:hAnsi="Palatino Linotype" w:cstheme="minorHAnsi"/>
          <w:sz w:val="20"/>
          <w:szCs w:val="24"/>
          <w:lang w:val="en-US"/>
        </w:rPr>
      </w:pPr>
      <w:r w:rsidRPr="007D7FF1">
        <w:rPr>
          <w:rFonts w:ascii="Palatino Linotype" w:hAnsi="Palatino Linotype" w:cstheme="minorHAnsi"/>
          <w:sz w:val="20"/>
          <w:szCs w:val="24"/>
          <w:lang w:val="en-US"/>
        </w:rPr>
        <w:t>Analysis of superior commodities shows that:</w:t>
      </w:r>
    </w:p>
    <w:p w:rsidR="00BF5D40" w:rsidRPr="007D7FF1" w:rsidRDefault="00BF5D40" w:rsidP="00BF5D40">
      <w:pPr>
        <w:pStyle w:val="ListParagraph"/>
        <w:numPr>
          <w:ilvl w:val="0"/>
          <w:numId w:val="12"/>
        </w:numPr>
        <w:spacing w:after="0" w:line="240" w:lineRule="auto"/>
        <w:ind w:left="851"/>
        <w:jc w:val="both"/>
        <w:rPr>
          <w:rFonts w:ascii="Palatino Linotype" w:hAnsi="Palatino Linotype" w:cstheme="minorHAnsi"/>
          <w:sz w:val="20"/>
          <w:szCs w:val="24"/>
          <w:lang w:val="en-US"/>
        </w:rPr>
      </w:pPr>
      <w:r w:rsidRPr="007D7FF1">
        <w:rPr>
          <w:rFonts w:ascii="Palatino Linotype" w:hAnsi="Palatino Linotype" w:cs="Palatino Linotype"/>
          <w:sz w:val="20"/>
          <w:szCs w:val="24"/>
          <w:lang w:val="en-US"/>
        </w:rPr>
        <w:t>There are 28 superior commodities in from agriculture sector which is food crops, horticulture, plantation, animal husbandry, marine and fishery.</w:t>
      </w:r>
    </w:p>
    <w:p w:rsidR="00BF5D40" w:rsidRPr="007D7FF1" w:rsidRDefault="00BF5D40" w:rsidP="00BF5D40">
      <w:pPr>
        <w:pStyle w:val="ListParagraph"/>
        <w:numPr>
          <w:ilvl w:val="0"/>
          <w:numId w:val="12"/>
        </w:numPr>
        <w:spacing w:after="0" w:line="240" w:lineRule="auto"/>
        <w:ind w:left="851"/>
        <w:jc w:val="both"/>
        <w:rPr>
          <w:rFonts w:ascii="Palatino Linotype" w:hAnsi="Palatino Linotype" w:cstheme="minorHAnsi"/>
          <w:sz w:val="20"/>
          <w:szCs w:val="24"/>
          <w:lang w:val="en-US"/>
        </w:rPr>
      </w:pPr>
      <w:r w:rsidRPr="007D7FF1">
        <w:rPr>
          <w:rFonts w:ascii="Palatino Linotype" w:hAnsi="Palatino Linotype" w:cs="Palatino Linotype"/>
          <w:sz w:val="20"/>
          <w:szCs w:val="24"/>
          <w:lang w:val="en-US"/>
        </w:rPr>
        <w:t>Kerinci regency has superior commodities in lowland rice, corn, peanuts, chili, potato, cabbage, petai, an</w:t>
      </w:r>
      <w:r w:rsidRPr="007D7FF1">
        <w:rPr>
          <w:rFonts w:ascii="Palatino Linotype" w:hAnsi="Palatino Linotype" w:cstheme="minorHAnsi"/>
          <w:sz w:val="20"/>
          <w:szCs w:val="24"/>
          <w:lang w:val="en-US"/>
        </w:rPr>
        <w:t>d sheep.</w:t>
      </w:r>
    </w:p>
    <w:p w:rsidR="00BF5D40" w:rsidRPr="007D7FF1" w:rsidRDefault="00BF5D40" w:rsidP="00BF5D40">
      <w:pPr>
        <w:pStyle w:val="ListParagraph"/>
        <w:numPr>
          <w:ilvl w:val="0"/>
          <w:numId w:val="12"/>
        </w:numPr>
        <w:spacing w:after="0" w:line="240" w:lineRule="auto"/>
        <w:ind w:left="851"/>
        <w:jc w:val="both"/>
        <w:rPr>
          <w:rFonts w:ascii="Palatino Linotype" w:hAnsi="Palatino Linotype" w:cstheme="minorHAnsi"/>
          <w:sz w:val="20"/>
          <w:szCs w:val="24"/>
          <w:lang w:val="en-US"/>
        </w:rPr>
      </w:pPr>
      <w:r w:rsidRPr="007D7FF1">
        <w:rPr>
          <w:rFonts w:ascii="Palatino Linotype" w:hAnsi="Palatino Linotype" w:cs="Palatino Linotype"/>
          <w:sz w:val="20"/>
          <w:szCs w:val="24"/>
          <w:lang w:val="en-US"/>
        </w:rPr>
        <w:t>Merangin regency has commodities of paddy rice, paddy fields, corn, peanuts, cassava, rubber, robusta coffee, goats, sheep, laying hens.</w:t>
      </w:r>
    </w:p>
    <w:p w:rsidR="00BF5D40" w:rsidRPr="007D7FF1" w:rsidRDefault="00BF5D40" w:rsidP="00BF5D40">
      <w:pPr>
        <w:pStyle w:val="ListParagraph"/>
        <w:numPr>
          <w:ilvl w:val="0"/>
          <w:numId w:val="12"/>
        </w:numPr>
        <w:spacing w:after="0" w:line="240" w:lineRule="auto"/>
        <w:ind w:left="851"/>
        <w:jc w:val="both"/>
        <w:rPr>
          <w:rFonts w:ascii="Palatino Linotype" w:hAnsi="Palatino Linotype" w:cstheme="minorHAnsi"/>
          <w:sz w:val="20"/>
          <w:szCs w:val="24"/>
          <w:lang w:val="en-US"/>
        </w:rPr>
      </w:pPr>
      <w:r w:rsidRPr="007D7FF1">
        <w:rPr>
          <w:rFonts w:ascii="Palatino Linotype" w:hAnsi="Palatino Linotype" w:cs="Palatino Linotype"/>
          <w:sz w:val="20"/>
          <w:szCs w:val="24"/>
          <w:lang w:val="en-US"/>
        </w:rPr>
        <w:t>Tanjung Jabung Barat regency only has one superior commodity namely sea fishery. While Tanjung Jabung TInu</w:t>
      </w:r>
      <w:r w:rsidRPr="007D7FF1">
        <w:rPr>
          <w:rFonts w:ascii="Palatino Linotype" w:hAnsi="Palatino Linotype" w:cstheme="minorHAnsi"/>
          <w:sz w:val="20"/>
          <w:szCs w:val="24"/>
          <w:lang w:val="en-US"/>
        </w:rPr>
        <w:t>r has 7 superior commodities.</w:t>
      </w:r>
    </w:p>
    <w:p w:rsidR="00BF5D40" w:rsidRPr="007D7FF1" w:rsidRDefault="00BF5D40" w:rsidP="00BF5D40">
      <w:pPr>
        <w:pStyle w:val="ListParagraph"/>
        <w:numPr>
          <w:ilvl w:val="0"/>
          <w:numId w:val="12"/>
        </w:numPr>
        <w:spacing w:after="0" w:line="240" w:lineRule="auto"/>
        <w:ind w:left="851"/>
        <w:jc w:val="both"/>
        <w:rPr>
          <w:rFonts w:ascii="Palatino Linotype" w:hAnsi="Palatino Linotype" w:cstheme="minorHAnsi"/>
          <w:sz w:val="20"/>
          <w:szCs w:val="24"/>
        </w:rPr>
      </w:pPr>
      <w:r w:rsidRPr="007D7FF1">
        <w:rPr>
          <w:rFonts w:ascii="Palatino Linotype" w:hAnsi="Palatino Linotype" w:cs="Palatino Linotype"/>
          <w:sz w:val="20"/>
          <w:szCs w:val="24"/>
          <w:lang w:val="en-US"/>
        </w:rPr>
        <w:t>Bungo regency has 12 superior commodities, Tebo Regency has 5 main commodities, Jambi City has 4 main commodities, Sungai Penuh City has 6 superior commodities, Muaro Jambi Regency has 3 main commodities, Sarolangun and Bata</w:t>
      </w:r>
      <w:r w:rsidRPr="007D7FF1">
        <w:rPr>
          <w:rFonts w:ascii="Palatino Linotype" w:hAnsi="Palatino Linotype" w:cstheme="minorHAnsi"/>
          <w:sz w:val="20"/>
          <w:szCs w:val="24"/>
          <w:lang w:val="en-US"/>
        </w:rPr>
        <w:t>nghari regencies have 4 main commodities each.</w:t>
      </w:r>
    </w:p>
    <w:p w:rsidR="00BF5D40" w:rsidRPr="005F54FF" w:rsidRDefault="00BF5D40" w:rsidP="00BF5D40">
      <w:pPr>
        <w:spacing w:after="0" w:line="240" w:lineRule="auto"/>
        <w:jc w:val="both"/>
        <w:rPr>
          <w:rFonts w:ascii="Palatino Linotype" w:hAnsi="Palatino Linotype" w:cstheme="minorHAnsi"/>
          <w:sz w:val="20"/>
          <w:szCs w:val="24"/>
        </w:rPr>
      </w:pPr>
    </w:p>
    <w:p w:rsidR="00BF5D40" w:rsidRDefault="00BF5D40" w:rsidP="00BF5D40">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 xml:space="preserve">Acknowledgments </w:t>
      </w:r>
    </w:p>
    <w:p w:rsidR="00BF5D40" w:rsidRPr="005F54FF" w:rsidRDefault="00BF5D40" w:rsidP="00A94CB9">
      <w:pPr>
        <w:ind w:firstLine="284"/>
        <w:jc w:val="both"/>
        <w:rPr>
          <w:rFonts w:ascii="Palatino Linotype" w:hAnsi="Palatino Linotype" w:cstheme="minorHAnsi"/>
          <w:sz w:val="20"/>
          <w:szCs w:val="24"/>
          <w:lang w:val="en-US"/>
        </w:rPr>
      </w:pPr>
      <w:r w:rsidRPr="005F54FF">
        <w:rPr>
          <w:rFonts w:ascii="Palatino Linotype" w:hAnsi="Palatino Linotype" w:cstheme="minorHAnsi"/>
          <w:sz w:val="20"/>
          <w:szCs w:val="24"/>
          <w:lang w:val="en-US"/>
        </w:rPr>
        <w:t>The corresponding author would like to acknowledge the funding support from the Ministry of Research, Technology and Higher Education, Republic of Indonesia research grant (Hibah RISTEKDIKTI).</w:t>
      </w:r>
    </w:p>
    <w:p w:rsidR="00BF5D40" w:rsidRDefault="00BF5D40" w:rsidP="00BF5D40">
      <w:pPr>
        <w:spacing w:after="0" w:line="240" w:lineRule="auto"/>
        <w:jc w:val="both"/>
        <w:rPr>
          <w:rFonts w:ascii="Palatino Linotype" w:hAnsi="Palatino Linotype" w:cstheme="minorHAnsi"/>
          <w:sz w:val="20"/>
          <w:szCs w:val="24"/>
          <w:lang w:val="en-US"/>
        </w:rPr>
      </w:pPr>
    </w:p>
    <w:p w:rsidR="00BF5D40" w:rsidRDefault="00BF5D40" w:rsidP="00BF5D40">
      <w:pPr>
        <w:spacing w:after="120" w:line="240" w:lineRule="auto"/>
        <w:jc w:val="both"/>
        <w:rPr>
          <w:rFonts w:ascii="Palatino Linotype" w:hAnsi="Palatino Linotype" w:cstheme="minorHAnsi"/>
          <w:b/>
          <w:sz w:val="24"/>
          <w:szCs w:val="24"/>
        </w:rPr>
      </w:pPr>
      <w:r>
        <w:rPr>
          <w:rFonts w:ascii="Palatino Linotype" w:hAnsi="Palatino Linotype" w:cstheme="minorHAnsi"/>
          <w:b/>
          <w:sz w:val="24"/>
          <w:szCs w:val="24"/>
          <w:lang w:val="en-US"/>
        </w:rPr>
        <w:t>References</w:t>
      </w:r>
    </w:p>
    <w:p w:rsidR="00BF5D40" w:rsidRDefault="00BF5D40" w:rsidP="00BF5D40">
      <w:pPr>
        <w:spacing w:after="120" w:line="240" w:lineRule="auto"/>
        <w:jc w:val="both"/>
        <w:rPr>
          <w:rFonts w:ascii="Palatino Linotype" w:hAnsi="Palatino Linotype" w:cstheme="minorHAnsi"/>
          <w:b/>
          <w:sz w:val="24"/>
          <w:szCs w:val="24"/>
        </w:rPr>
      </w:pPr>
      <w:r>
        <w:rPr>
          <w:rFonts w:ascii="Palatino Linotype" w:hAnsi="Palatino Linotype" w:cstheme="minorHAnsi"/>
          <w:sz w:val="20"/>
          <w:szCs w:val="24"/>
        </w:rPr>
        <w:t>Haeruman, H.</w:t>
      </w:r>
      <w:r w:rsidRPr="005F54FF">
        <w:rPr>
          <w:rFonts w:ascii="Palatino Linotype" w:hAnsi="Palatino Linotype" w:cstheme="minorHAnsi"/>
          <w:sz w:val="20"/>
          <w:szCs w:val="24"/>
        </w:rPr>
        <w:t xml:space="preserve"> </w:t>
      </w:r>
      <w:r>
        <w:rPr>
          <w:rFonts w:ascii="Palatino Linotype" w:hAnsi="Palatino Linotype" w:cstheme="minorHAnsi"/>
          <w:sz w:val="20"/>
          <w:szCs w:val="24"/>
        </w:rPr>
        <w:t>(</w:t>
      </w:r>
      <w:r w:rsidRPr="005F54FF">
        <w:rPr>
          <w:rFonts w:ascii="Palatino Linotype" w:hAnsi="Palatino Linotype" w:cstheme="minorHAnsi"/>
          <w:sz w:val="20"/>
          <w:szCs w:val="24"/>
        </w:rPr>
        <w:t>2000</w:t>
      </w:r>
      <w:r>
        <w:rPr>
          <w:rFonts w:ascii="Palatino Linotype" w:hAnsi="Palatino Linotype" w:cstheme="minorHAnsi"/>
          <w:sz w:val="20"/>
          <w:szCs w:val="24"/>
        </w:rPr>
        <w:t>).</w:t>
      </w:r>
      <w:r w:rsidRPr="005F54FF">
        <w:rPr>
          <w:rFonts w:ascii="Palatino Linotype" w:hAnsi="Palatino Linotype" w:cstheme="minorHAnsi"/>
          <w:sz w:val="20"/>
          <w:szCs w:val="24"/>
        </w:rPr>
        <w:t xml:space="preserve"> </w:t>
      </w:r>
      <w:r w:rsidRPr="00EC216A">
        <w:rPr>
          <w:rFonts w:ascii="Palatino Linotype" w:hAnsi="Palatino Linotype" w:cstheme="minorHAnsi"/>
          <w:i/>
          <w:sz w:val="20"/>
          <w:szCs w:val="24"/>
        </w:rPr>
        <w:t>Peningkatan Daya Saing MSMES untuk Mendukung Program PEL</w:t>
      </w:r>
      <w:r w:rsidRPr="005F54FF">
        <w:rPr>
          <w:rFonts w:ascii="Palatino Linotype" w:hAnsi="Palatino Linotype" w:cstheme="minorHAnsi"/>
          <w:sz w:val="20"/>
          <w:szCs w:val="24"/>
        </w:rPr>
        <w:t xml:space="preserve">.  Makalah </w:t>
      </w:r>
      <w:r>
        <w:rPr>
          <w:rFonts w:ascii="Palatino Linotype" w:hAnsi="Palatino Linotype" w:cstheme="minorHAnsi"/>
          <w:sz w:val="20"/>
          <w:szCs w:val="24"/>
        </w:rPr>
        <w:tab/>
      </w:r>
      <w:r w:rsidRPr="005F54FF">
        <w:rPr>
          <w:rFonts w:ascii="Palatino Linotype" w:hAnsi="Palatino Linotype" w:cstheme="minorHAnsi"/>
          <w:sz w:val="20"/>
          <w:szCs w:val="24"/>
        </w:rPr>
        <w:t>Seminar Peningkatan Daya Saing, Graha Sucofindo, Jakarta.</w:t>
      </w:r>
    </w:p>
    <w:p w:rsidR="00BF5D40" w:rsidRDefault="00BF5D40" w:rsidP="00BF5D40">
      <w:pPr>
        <w:spacing w:after="120" w:line="240" w:lineRule="auto"/>
        <w:jc w:val="both"/>
        <w:rPr>
          <w:rFonts w:ascii="Palatino Linotype" w:hAnsi="Palatino Linotype" w:cstheme="minorHAnsi"/>
          <w:sz w:val="20"/>
          <w:szCs w:val="24"/>
        </w:rPr>
      </w:pPr>
      <w:r>
        <w:rPr>
          <w:rFonts w:ascii="Palatino Linotype" w:hAnsi="Palatino Linotype" w:cstheme="minorHAnsi"/>
          <w:sz w:val="20"/>
          <w:szCs w:val="24"/>
        </w:rPr>
        <w:t>Hafsah, Mohammad Jafar.</w:t>
      </w:r>
      <w:r w:rsidRPr="005F54FF">
        <w:rPr>
          <w:rFonts w:ascii="Palatino Linotype" w:hAnsi="Palatino Linotype" w:cstheme="minorHAnsi"/>
          <w:sz w:val="20"/>
          <w:szCs w:val="24"/>
        </w:rPr>
        <w:t xml:space="preserve"> </w:t>
      </w:r>
      <w:r>
        <w:rPr>
          <w:rFonts w:ascii="Palatino Linotype" w:hAnsi="Palatino Linotype" w:cstheme="minorHAnsi"/>
          <w:sz w:val="20"/>
          <w:szCs w:val="24"/>
        </w:rPr>
        <w:t>(2004).</w:t>
      </w:r>
      <w:r w:rsidRPr="005F54FF">
        <w:rPr>
          <w:rFonts w:ascii="Palatino Linotype" w:hAnsi="Palatino Linotype" w:cstheme="minorHAnsi"/>
          <w:sz w:val="20"/>
          <w:szCs w:val="24"/>
        </w:rPr>
        <w:t xml:space="preserve"> </w:t>
      </w:r>
      <w:r w:rsidRPr="00EC216A">
        <w:rPr>
          <w:rFonts w:ascii="Palatino Linotype" w:hAnsi="Palatino Linotype" w:cstheme="minorHAnsi"/>
          <w:sz w:val="20"/>
          <w:szCs w:val="24"/>
        </w:rPr>
        <w:t>Upaya Pengembangan Usaha Kecil dan Menengah (UKM).</w:t>
      </w:r>
      <w:r>
        <w:rPr>
          <w:rFonts w:ascii="Palatino Linotype" w:hAnsi="Palatino Linotype" w:cstheme="minorHAnsi"/>
          <w:i/>
          <w:sz w:val="20"/>
          <w:szCs w:val="24"/>
        </w:rPr>
        <w:t xml:space="preserve"> </w:t>
      </w:r>
      <w:r w:rsidRPr="00EC216A">
        <w:rPr>
          <w:rFonts w:ascii="Palatino Linotype" w:hAnsi="Palatino Linotype" w:cstheme="minorHAnsi"/>
          <w:i/>
          <w:sz w:val="20"/>
          <w:szCs w:val="24"/>
        </w:rPr>
        <w:t xml:space="preserve">Infokop </w:t>
      </w:r>
      <w:r w:rsidRPr="00EC216A">
        <w:rPr>
          <w:rFonts w:ascii="Palatino Linotype" w:hAnsi="Palatino Linotype" w:cstheme="minorHAnsi"/>
          <w:i/>
          <w:sz w:val="20"/>
          <w:szCs w:val="24"/>
        </w:rPr>
        <w:tab/>
        <w:t>Nomor 25 Tahun XX, 2004</w:t>
      </w:r>
      <w:r w:rsidRPr="005F54FF">
        <w:rPr>
          <w:rFonts w:ascii="Palatino Linotype" w:hAnsi="Palatino Linotype" w:cstheme="minorHAnsi"/>
          <w:sz w:val="20"/>
          <w:szCs w:val="24"/>
        </w:rPr>
        <w:t xml:space="preserve">. Deputi Bidang Pengkajian Sumberdaya UKMK. Kementerian </w:t>
      </w:r>
      <w:r>
        <w:rPr>
          <w:rFonts w:ascii="Palatino Linotype" w:hAnsi="Palatino Linotype" w:cstheme="minorHAnsi"/>
          <w:sz w:val="20"/>
          <w:szCs w:val="24"/>
        </w:rPr>
        <w:tab/>
      </w:r>
      <w:r w:rsidRPr="005F54FF">
        <w:rPr>
          <w:rFonts w:ascii="Palatino Linotype" w:hAnsi="Palatino Linotype" w:cstheme="minorHAnsi"/>
          <w:sz w:val="20"/>
          <w:szCs w:val="24"/>
        </w:rPr>
        <w:t>Koperasi dan UKM</w:t>
      </w:r>
      <w:r>
        <w:rPr>
          <w:rFonts w:ascii="Palatino Linotype" w:hAnsi="Palatino Linotype" w:cstheme="minorHAnsi"/>
          <w:sz w:val="20"/>
          <w:szCs w:val="24"/>
        </w:rPr>
        <w:t>.</w:t>
      </w:r>
    </w:p>
    <w:p w:rsidR="00BF5D40" w:rsidRDefault="00BF5D40" w:rsidP="00BF5D40">
      <w:pPr>
        <w:spacing w:after="120" w:line="240" w:lineRule="auto"/>
        <w:jc w:val="both"/>
        <w:rPr>
          <w:rFonts w:ascii="Palatino Linotype" w:hAnsi="Palatino Linotype" w:cstheme="minorHAnsi"/>
          <w:sz w:val="20"/>
          <w:szCs w:val="24"/>
        </w:rPr>
      </w:pPr>
      <w:r>
        <w:rPr>
          <w:rFonts w:ascii="Palatino Linotype" w:hAnsi="Palatino Linotype" w:cstheme="minorHAnsi"/>
          <w:sz w:val="20"/>
          <w:szCs w:val="24"/>
        </w:rPr>
        <w:t>Haryadi.</w:t>
      </w:r>
      <w:r w:rsidRPr="005F54FF">
        <w:rPr>
          <w:rFonts w:ascii="Palatino Linotype" w:hAnsi="Palatino Linotype" w:cstheme="minorHAnsi"/>
          <w:sz w:val="20"/>
          <w:szCs w:val="24"/>
        </w:rPr>
        <w:t xml:space="preserve"> </w:t>
      </w:r>
      <w:r>
        <w:rPr>
          <w:rFonts w:ascii="Palatino Linotype" w:hAnsi="Palatino Linotype" w:cstheme="minorHAnsi"/>
          <w:sz w:val="20"/>
          <w:szCs w:val="24"/>
        </w:rPr>
        <w:t>(</w:t>
      </w:r>
      <w:r w:rsidRPr="005F54FF">
        <w:rPr>
          <w:rFonts w:ascii="Palatino Linotype" w:hAnsi="Palatino Linotype" w:cstheme="minorHAnsi"/>
          <w:sz w:val="20"/>
          <w:szCs w:val="24"/>
        </w:rPr>
        <w:t>2009</w:t>
      </w:r>
      <w:r>
        <w:rPr>
          <w:rFonts w:ascii="Palatino Linotype" w:hAnsi="Palatino Linotype" w:cstheme="minorHAnsi"/>
          <w:sz w:val="20"/>
          <w:szCs w:val="24"/>
        </w:rPr>
        <w:t>)</w:t>
      </w:r>
      <w:r w:rsidRPr="005F54FF">
        <w:rPr>
          <w:rFonts w:ascii="Palatino Linotype" w:hAnsi="Palatino Linotype" w:cstheme="minorHAnsi"/>
          <w:sz w:val="20"/>
          <w:szCs w:val="24"/>
        </w:rPr>
        <w:t xml:space="preserve">. </w:t>
      </w:r>
      <w:r w:rsidRPr="00EC216A">
        <w:rPr>
          <w:rFonts w:ascii="Palatino Linotype" w:hAnsi="Palatino Linotype" w:cstheme="minorHAnsi"/>
          <w:i/>
          <w:sz w:val="20"/>
          <w:szCs w:val="24"/>
        </w:rPr>
        <w:t xml:space="preserve">Profil dan Permasalahan MSMES di Provinsi Jambi, dalam Kajian Pemanfaatan </w:t>
      </w:r>
      <w:r w:rsidRPr="00EC216A">
        <w:rPr>
          <w:rFonts w:ascii="Palatino Linotype" w:hAnsi="Palatino Linotype" w:cstheme="minorHAnsi"/>
          <w:i/>
          <w:sz w:val="20"/>
          <w:szCs w:val="24"/>
        </w:rPr>
        <w:tab/>
        <w:t>Bantuan Pemerintah Untuk Pengembangan MSMES</w:t>
      </w:r>
      <w:r w:rsidRPr="005F54FF">
        <w:rPr>
          <w:rFonts w:ascii="Palatino Linotype" w:hAnsi="Palatino Linotype" w:cstheme="minorHAnsi"/>
          <w:sz w:val="20"/>
          <w:szCs w:val="24"/>
        </w:rPr>
        <w:t xml:space="preserve">. Fakultas Ekonomi, Universitas </w:t>
      </w:r>
      <w:r>
        <w:rPr>
          <w:rFonts w:ascii="Palatino Linotype" w:hAnsi="Palatino Linotype" w:cstheme="minorHAnsi"/>
          <w:sz w:val="20"/>
          <w:szCs w:val="24"/>
        </w:rPr>
        <w:tab/>
      </w:r>
      <w:r w:rsidRPr="005F54FF">
        <w:rPr>
          <w:rFonts w:ascii="Palatino Linotype" w:hAnsi="Palatino Linotype" w:cstheme="minorHAnsi"/>
          <w:sz w:val="20"/>
          <w:szCs w:val="24"/>
        </w:rPr>
        <w:t>Jambi.</w:t>
      </w:r>
    </w:p>
    <w:p w:rsidR="00BF5D40" w:rsidRDefault="00BF5D40" w:rsidP="00BF5D40">
      <w:pPr>
        <w:spacing w:after="120" w:line="240" w:lineRule="auto"/>
        <w:jc w:val="both"/>
        <w:rPr>
          <w:rFonts w:ascii="Palatino Linotype" w:hAnsi="Palatino Linotype" w:cstheme="minorHAnsi"/>
          <w:b/>
          <w:sz w:val="24"/>
          <w:szCs w:val="24"/>
        </w:rPr>
      </w:pPr>
      <w:r w:rsidRPr="005F54FF">
        <w:rPr>
          <w:rFonts w:ascii="Palatino Linotype" w:hAnsi="Palatino Linotype" w:cstheme="minorHAnsi"/>
          <w:sz w:val="20"/>
          <w:szCs w:val="24"/>
        </w:rPr>
        <w:lastRenderedPageBreak/>
        <w:t xml:space="preserve">Kuncoro, Mudrajad. </w:t>
      </w:r>
      <w:r>
        <w:rPr>
          <w:rFonts w:ascii="Palatino Linotype" w:hAnsi="Palatino Linotype" w:cstheme="minorHAnsi"/>
          <w:sz w:val="20"/>
          <w:szCs w:val="24"/>
        </w:rPr>
        <w:t>(</w:t>
      </w:r>
      <w:r w:rsidRPr="005F54FF">
        <w:rPr>
          <w:rFonts w:ascii="Palatino Linotype" w:hAnsi="Palatino Linotype" w:cstheme="minorHAnsi"/>
          <w:sz w:val="20"/>
          <w:szCs w:val="24"/>
        </w:rPr>
        <w:t>2007</w:t>
      </w:r>
      <w:r>
        <w:rPr>
          <w:rFonts w:ascii="Palatino Linotype" w:hAnsi="Palatino Linotype" w:cstheme="minorHAnsi"/>
          <w:sz w:val="20"/>
          <w:szCs w:val="24"/>
        </w:rPr>
        <w:t>)</w:t>
      </w:r>
      <w:r w:rsidRPr="005F54FF">
        <w:rPr>
          <w:rFonts w:ascii="Palatino Linotype" w:hAnsi="Palatino Linotype" w:cstheme="minorHAnsi"/>
          <w:sz w:val="20"/>
          <w:szCs w:val="24"/>
        </w:rPr>
        <w:t xml:space="preserve">. </w:t>
      </w:r>
      <w:r w:rsidRPr="00EC216A">
        <w:rPr>
          <w:rFonts w:ascii="Palatino Linotype" w:hAnsi="Palatino Linotype" w:cstheme="minorHAnsi"/>
          <w:i/>
          <w:sz w:val="20"/>
          <w:szCs w:val="24"/>
        </w:rPr>
        <w:t>Ekonomi Industri Indonesia, Menuju Negara Industri Baru 2030?.</w:t>
      </w:r>
      <w:r w:rsidRPr="005F54FF">
        <w:rPr>
          <w:rFonts w:ascii="Palatino Linotype" w:hAnsi="Palatino Linotype" w:cstheme="minorHAnsi"/>
          <w:sz w:val="20"/>
          <w:szCs w:val="24"/>
        </w:rPr>
        <w:t xml:space="preserve"> </w:t>
      </w:r>
      <w:r>
        <w:rPr>
          <w:rFonts w:ascii="Palatino Linotype" w:hAnsi="Palatino Linotype" w:cstheme="minorHAnsi"/>
          <w:sz w:val="20"/>
          <w:szCs w:val="24"/>
        </w:rPr>
        <w:tab/>
      </w:r>
      <w:r w:rsidRPr="005F54FF">
        <w:rPr>
          <w:rFonts w:ascii="Palatino Linotype" w:hAnsi="Palatino Linotype" w:cstheme="minorHAnsi"/>
          <w:sz w:val="20"/>
          <w:szCs w:val="24"/>
        </w:rPr>
        <w:t>Penerbit ANDI Yogyakarta.</w:t>
      </w:r>
    </w:p>
    <w:p w:rsidR="00BF5D40" w:rsidRDefault="00BF5D40" w:rsidP="00BF5D40">
      <w:pPr>
        <w:spacing w:after="120" w:line="240" w:lineRule="auto"/>
        <w:jc w:val="both"/>
        <w:rPr>
          <w:rFonts w:ascii="Palatino Linotype" w:hAnsi="Palatino Linotype" w:cstheme="minorHAnsi"/>
          <w:b/>
          <w:sz w:val="24"/>
          <w:szCs w:val="24"/>
        </w:rPr>
      </w:pPr>
      <w:r>
        <w:rPr>
          <w:rFonts w:ascii="Palatino Linotype" w:hAnsi="Palatino Linotype" w:cstheme="minorHAnsi"/>
          <w:sz w:val="20"/>
          <w:szCs w:val="24"/>
        </w:rPr>
        <w:t>Maupa, Haris.</w:t>
      </w:r>
      <w:r w:rsidRPr="005F54FF">
        <w:rPr>
          <w:rFonts w:ascii="Palatino Linotype" w:hAnsi="Palatino Linotype" w:cstheme="minorHAnsi"/>
          <w:sz w:val="20"/>
          <w:szCs w:val="24"/>
        </w:rPr>
        <w:t xml:space="preserve"> </w:t>
      </w:r>
      <w:r>
        <w:rPr>
          <w:rFonts w:ascii="Palatino Linotype" w:hAnsi="Palatino Linotype" w:cstheme="minorHAnsi"/>
          <w:sz w:val="20"/>
          <w:szCs w:val="24"/>
        </w:rPr>
        <w:t>(2004).</w:t>
      </w:r>
      <w:r w:rsidRPr="005F54FF">
        <w:rPr>
          <w:rFonts w:ascii="Palatino Linotype" w:hAnsi="Palatino Linotype" w:cstheme="minorHAnsi"/>
          <w:sz w:val="20"/>
          <w:szCs w:val="24"/>
        </w:rPr>
        <w:t xml:space="preserve"> </w:t>
      </w:r>
      <w:r w:rsidRPr="00EC216A">
        <w:rPr>
          <w:rFonts w:ascii="Palatino Linotype" w:hAnsi="Palatino Linotype" w:cstheme="minorHAnsi"/>
          <w:i/>
          <w:sz w:val="20"/>
          <w:szCs w:val="24"/>
        </w:rPr>
        <w:t>Faktor-Faktor yang Menentukan Pertumbuhan Usaha Kecil di Sulawesi Selatan</w:t>
      </w:r>
      <w:r w:rsidRPr="005F54FF">
        <w:rPr>
          <w:rFonts w:ascii="Palatino Linotype" w:hAnsi="Palatino Linotype" w:cstheme="minorHAnsi"/>
          <w:sz w:val="20"/>
          <w:szCs w:val="24"/>
        </w:rPr>
        <w:t xml:space="preserve">. </w:t>
      </w:r>
      <w:r>
        <w:rPr>
          <w:rFonts w:ascii="Palatino Linotype" w:hAnsi="Palatino Linotype" w:cstheme="minorHAnsi"/>
          <w:sz w:val="20"/>
          <w:szCs w:val="24"/>
        </w:rPr>
        <w:tab/>
      </w:r>
      <w:r w:rsidRPr="005F54FF">
        <w:rPr>
          <w:rFonts w:ascii="Palatino Linotype" w:hAnsi="Palatino Linotype" w:cstheme="minorHAnsi"/>
          <w:sz w:val="20"/>
          <w:szCs w:val="24"/>
        </w:rPr>
        <w:t>Disertasi Program Pascasarjana Unhas. Tidak dipublikasikan</w:t>
      </w:r>
    </w:p>
    <w:p w:rsidR="00BF5D40" w:rsidRDefault="00BF5D40" w:rsidP="00BF5D40">
      <w:pPr>
        <w:spacing w:after="120" w:line="240" w:lineRule="auto"/>
        <w:jc w:val="both"/>
        <w:rPr>
          <w:rFonts w:ascii="Palatino Linotype" w:hAnsi="Palatino Linotype" w:cstheme="minorHAnsi"/>
          <w:b/>
          <w:sz w:val="24"/>
          <w:szCs w:val="24"/>
        </w:rPr>
      </w:pPr>
      <w:r w:rsidRPr="005F54FF">
        <w:rPr>
          <w:rFonts w:ascii="Palatino Linotype" w:hAnsi="Palatino Linotype" w:cstheme="minorHAnsi"/>
          <w:sz w:val="20"/>
          <w:szCs w:val="24"/>
        </w:rPr>
        <w:t>Munizu, Mus</w:t>
      </w:r>
      <w:r>
        <w:rPr>
          <w:rFonts w:ascii="Palatino Linotype" w:hAnsi="Palatino Linotype" w:cstheme="minorHAnsi"/>
          <w:sz w:val="20"/>
          <w:szCs w:val="24"/>
        </w:rPr>
        <w:t>ran.</w:t>
      </w:r>
      <w:r w:rsidRPr="005F54FF">
        <w:rPr>
          <w:rFonts w:ascii="Palatino Linotype" w:hAnsi="Palatino Linotype" w:cstheme="minorHAnsi"/>
          <w:sz w:val="20"/>
          <w:szCs w:val="24"/>
        </w:rPr>
        <w:t xml:space="preserve"> </w:t>
      </w:r>
      <w:r>
        <w:rPr>
          <w:rFonts w:ascii="Palatino Linotype" w:hAnsi="Palatino Linotype" w:cstheme="minorHAnsi"/>
          <w:sz w:val="20"/>
          <w:szCs w:val="24"/>
        </w:rPr>
        <w:t>(2010).</w:t>
      </w:r>
      <w:r w:rsidRPr="005F54FF">
        <w:rPr>
          <w:rFonts w:ascii="Palatino Linotype" w:hAnsi="Palatino Linotype" w:cstheme="minorHAnsi"/>
          <w:sz w:val="20"/>
          <w:szCs w:val="24"/>
        </w:rPr>
        <w:t xml:space="preserve"> Pengaruh Faktor-Faktor Eksternal dan Internal Terhadap Kinerja Usaha </w:t>
      </w:r>
      <w:r>
        <w:rPr>
          <w:rFonts w:ascii="Palatino Linotype" w:hAnsi="Palatino Linotype" w:cstheme="minorHAnsi"/>
          <w:sz w:val="20"/>
          <w:szCs w:val="24"/>
        </w:rPr>
        <w:tab/>
      </w:r>
      <w:r w:rsidRPr="005F54FF">
        <w:rPr>
          <w:rFonts w:ascii="Palatino Linotype" w:hAnsi="Palatino Linotype" w:cstheme="minorHAnsi"/>
          <w:sz w:val="20"/>
          <w:szCs w:val="24"/>
        </w:rPr>
        <w:t xml:space="preserve">Mikro dan Kecil (UMK) di Sulawesi Selatan, </w:t>
      </w:r>
      <w:r w:rsidRPr="00EC216A">
        <w:rPr>
          <w:rFonts w:ascii="Palatino Linotype" w:hAnsi="Palatino Linotype" w:cstheme="minorHAnsi"/>
          <w:i/>
          <w:sz w:val="20"/>
          <w:szCs w:val="24"/>
        </w:rPr>
        <w:t>Jurnal Manajemen dan Kewirausahaan 12</w:t>
      </w:r>
      <w:r w:rsidRPr="005F54FF">
        <w:rPr>
          <w:rFonts w:ascii="Palatino Linotype" w:hAnsi="Palatino Linotype" w:cstheme="minorHAnsi"/>
          <w:sz w:val="20"/>
          <w:szCs w:val="24"/>
        </w:rPr>
        <w:t>, 33-41</w:t>
      </w:r>
    </w:p>
    <w:p w:rsidR="00BF5D40" w:rsidRDefault="00BF5D40" w:rsidP="00BF5D40">
      <w:pPr>
        <w:spacing w:after="120" w:line="240" w:lineRule="auto"/>
        <w:jc w:val="both"/>
        <w:rPr>
          <w:rFonts w:ascii="Palatino Linotype" w:hAnsi="Palatino Linotype" w:cstheme="minorHAnsi"/>
          <w:b/>
          <w:sz w:val="24"/>
          <w:szCs w:val="24"/>
        </w:rPr>
      </w:pPr>
      <w:r w:rsidRPr="005F54FF">
        <w:rPr>
          <w:rFonts w:ascii="Palatino Linotype" w:hAnsi="Palatino Linotype" w:cstheme="minorHAnsi"/>
          <w:sz w:val="20"/>
          <w:szCs w:val="24"/>
        </w:rPr>
        <w:t xml:space="preserve">Nazir, Moh. </w:t>
      </w:r>
      <w:r>
        <w:rPr>
          <w:rFonts w:ascii="Palatino Linotype" w:hAnsi="Palatino Linotype" w:cstheme="minorHAnsi"/>
          <w:sz w:val="20"/>
          <w:szCs w:val="24"/>
        </w:rPr>
        <w:t>(</w:t>
      </w:r>
      <w:r w:rsidRPr="005F54FF">
        <w:rPr>
          <w:rFonts w:ascii="Palatino Linotype" w:hAnsi="Palatino Linotype" w:cstheme="minorHAnsi"/>
          <w:sz w:val="20"/>
          <w:szCs w:val="24"/>
        </w:rPr>
        <w:t>2005</w:t>
      </w:r>
      <w:r>
        <w:rPr>
          <w:rFonts w:ascii="Palatino Linotype" w:hAnsi="Palatino Linotype" w:cstheme="minorHAnsi"/>
          <w:sz w:val="20"/>
          <w:szCs w:val="24"/>
        </w:rPr>
        <w:t>)</w:t>
      </w:r>
      <w:r w:rsidRPr="005F54FF">
        <w:rPr>
          <w:rFonts w:ascii="Palatino Linotype" w:hAnsi="Palatino Linotype" w:cstheme="minorHAnsi"/>
          <w:sz w:val="20"/>
          <w:szCs w:val="24"/>
        </w:rPr>
        <w:t xml:space="preserve">. </w:t>
      </w:r>
      <w:r w:rsidRPr="00EC216A">
        <w:rPr>
          <w:rFonts w:ascii="Palatino Linotype" w:hAnsi="Palatino Linotype" w:cstheme="minorHAnsi"/>
          <w:i/>
          <w:sz w:val="20"/>
          <w:szCs w:val="24"/>
        </w:rPr>
        <w:t>Metode Penelitian</w:t>
      </w:r>
      <w:r w:rsidRPr="005F54FF">
        <w:rPr>
          <w:rFonts w:ascii="Palatino Linotype" w:hAnsi="Palatino Linotype" w:cstheme="minorHAnsi"/>
          <w:sz w:val="20"/>
          <w:szCs w:val="24"/>
        </w:rPr>
        <w:t>. Ghalia Indonesia, Bogor.</w:t>
      </w:r>
    </w:p>
    <w:p w:rsidR="00BF5D40" w:rsidRDefault="00BF5D40" w:rsidP="00BF5D40">
      <w:pPr>
        <w:spacing w:after="120" w:line="240" w:lineRule="auto"/>
        <w:jc w:val="both"/>
        <w:rPr>
          <w:rFonts w:ascii="Palatino Linotype" w:hAnsi="Palatino Linotype" w:cstheme="minorHAnsi"/>
          <w:b/>
          <w:sz w:val="24"/>
          <w:szCs w:val="24"/>
        </w:rPr>
      </w:pPr>
      <w:r w:rsidRPr="005F54FF">
        <w:rPr>
          <w:rFonts w:ascii="Palatino Linotype" w:hAnsi="Palatino Linotype" w:cstheme="minorHAnsi"/>
          <w:sz w:val="20"/>
          <w:szCs w:val="24"/>
        </w:rPr>
        <w:t>P. Eko Prasetyo</w:t>
      </w:r>
      <w:r>
        <w:rPr>
          <w:rFonts w:ascii="Palatino Linotype" w:hAnsi="Palatino Linotype" w:cstheme="minorHAnsi"/>
          <w:sz w:val="20"/>
          <w:szCs w:val="24"/>
        </w:rPr>
        <w:t>.</w:t>
      </w:r>
      <w:r w:rsidRPr="005F54FF">
        <w:rPr>
          <w:rFonts w:ascii="Palatino Linotype" w:hAnsi="Palatino Linotype" w:cstheme="minorHAnsi"/>
          <w:sz w:val="20"/>
          <w:szCs w:val="24"/>
        </w:rPr>
        <w:t xml:space="preserve"> </w:t>
      </w:r>
      <w:r>
        <w:rPr>
          <w:rFonts w:ascii="Palatino Linotype" w:hAnsi="Palatino Linotype" w:cstheme="minorHAnsi"/>
          <w:sz w:val="20"/>
          <w:szCs w:val="24"/>
        </w:rPr>
        <w:t>(</w:t>
      </w:r>
      <w:r w:rsidRPr="005F54FF">
        <w:rPr>
          <w:rFonts w:ascii="Palatino Linotype" w:hAnsi="Palatino Linotype" w:cstheme="minorHAnsi"/>
          <w:sz w:val="20"/>
          <w:szCs w:val="24"/>
        </w:rPr>
        <w:t>2008</w:t>
      </w:r>
      <w:r>
        <w:rPr>
          <w:rFonts w:ascii="Palatino Linotype" w:hAnsi="Palatino Linotype" w:cstheme="minorHAnsi"/>
          <w:sz w:val="20"/>
          <w:szCs w:val="24"/>
        </w:rPr>
        <w:t>).</w:t>
      </w:r>
      <w:r w:rsidRPr="005F54FF">
        <w:rPr>
          <w:rFonts w:ascii="Palatino Linotype" w:hAnsi="Palatino Linotype" w:cstheme="minorHAnsi"/>
          <w:sz w:val="20"/>
          <w:szCs w:val="24"/>
        </w:rPr>
        <w:t xml:space="preserve"> </w:t>
      </w:r>
      <w:r>
        <w:rPr>
          <w:rFonts w:ascii="Palatino Linotype" w:hAnsi="Palatino Linotype" w:cstheme="minorHAnsi"/>
          <w:sz w:val="20"/>
          <w:szCs w:val="24"/>
        </w:rPr>
        <w:t xml:space="preserve">Peran Usaha Mikro Kecil </w:t>
      </w:r>
      <w:r w:rsidRPr="005F54FF">
        <w:rPr>
          <w:rFonts w:ascii="Palatino Linotype" w:hAnsi="Palatino Linotype" w:cstheme="minorHAnsi"/>
          <w:sz w:val="20"/>
          <w:szCs w:val="24"/>
        </w:rPr>
        <w:t xml:space="preserve">dan Menengah </w:t>
      </w:r>
      <w:r>
        <w:rPr>
          <w:rFonts w:ascii="Palatino Linotype" w:hAnsi="Palatino Linotype" w:cstheme="minorHAnsi"/>
          <w:sz w:val="20"/>
          <w:szCs w:val="24"/>
        </w:rPr>
        <w:tab/>
      </w:r>
      <w:r w:rsidRPr="005F54FF">
        <w:rPr>
          <w:rFonts w:ascii="Palatino Linotype" w:hAnsi="Palatino Linotype" w:cstheme="minorHAnsi"/>
          <w:sz w:val="20"/>
          <w:szCs w:val="24"/>
        </w:rPr>
        <w:t>(MSMES) dalam Kebijakan Penanggulangan Kemiskinan dan Pengangguran</w:t>
      </w:r>
      <w:r>
        <w:rPr>
          <w:rFonts w:ascii="Palatino Linotype" w:hAnsi="Palatino Linotype" w:cstheme="minorHAnsi"/>
          <w:sz w:val="20"/>
          <w:szCs w:val="24"/>
        </w:rPr>
        <w:t xml:space="preserve"> </w:t>
      </w:r>
      <w:r w:rsidRPr="005F54FF">
        <w:rPr>
          <w:rFonts w:ascii="Palatino Linotype" w:hAnsi="Palatino Linotype" w:cstheme="minorHAnsi"/>
          <w:sz w:val="20"/>
          <w:szCs w:val="24"/>
        </w:rPr>
        <w:t xml:space="preserve">– </w:t>
      </w:r>
      <w:r w:rsidRPr="00DB5DC1">
        <w:rPr>
          <w:rFonts w:ascii="Palatino Linotype" w:hAnsi="Palatino Linotype" w:cstheme="minorHAnsi"/>
          <w:i/>
          <w:sz w:val="20"/>
          <w:szCs w:val="24"/>
        </w:rPr>
        <w:t>AKMENIKA UPY, Volume 2, 2008</w:t>
      </w:r>
      <w:r>
        <w:rPr>
          <w:rFonts w:ascii="Palatino Linotype" w:hAnsi="Palatino Linotype" w:cstheme="minorHAnsi"/>
          <w:i/>
          <w:sz w:val="20"/>
          <w:szCs w:val="24"/>
        </w:rPr>
        <w:t>.</w:t>
      </w:r>
    </w:p>
    <w:p w:rsidR="00BF5D40" w:rsidRPr="00DB5DC1" w:rsidRDefault="00BF5D40" w:rsidP="00BF5D40">
      <w:pPr>
        <w:spacing w:after="120" w:line="240" w:lineRule="auto"/>
        <w:jc w:val="both"/>
        <w:rPr>
          <w:rFonts w:ascii="Palatino Linotype" w:hAnsi="Palatino Linotype" w:cstheme="minorHAnsi"/>
          <w:b/>
          <w:i/>
          <w:sz w:val="24"/>
          <w:szCs w:val="24"/>
        </w:rPr>
      </w:pPr>
      <w:r w:rsidRPr="005F54FF">
        <w:rPr>
          <w:rFonts w:ascii="Palatino Linotype" w:hAnsi="Palatino Linotype" w:cstheme="minorHAnsi"/>
          <w:sz w:val="20"/>
          <w:szCs w:val="24"/>
        </w:rPr>
        <w:t xml:space="preserve">Rejekiningsih, Tri Wahyu. </w:t>
      </w:r>
      <w:r>
        <w:rPr>
          <w:rFonts w:ascii="Palatino Linotype" w:hAnsi="Palatino Linotype" w:cstheme="minorHAnsi"/>
          <w:sz w:val="20"/>
          <w:szCs w:val="24"/>
        </w:rPr>
        <w:t>(</w:t>
      </w:r>
      <w:r w:rsidRPr="005F54FF">
        <w:rPr>
          <w:rFonts w:ascii="Palatino Linotype" w:hAnsi="Palatino Linotype" w:cstheme="minorHAnsi"/>
          <w:sz w:val="20"/>
          <w:szCs w:val="24"/>
        </w:rPr>
        <w:t>2004</w:t>
      </w:r>
      <w:r>
        <w:rPr>
          <w:rFonts w:ascii="Palatino Linotype" w:hAnsi="Palatino Linotype" w:cstheme="minorHAnsi"/>
          <w:sz w:val="20"/>
          <w:szCs w:val="24"/>
        </w:rPr>
        <w:t>)</w:t>
      </w:r>
      <w:r w:rsidRPr="005F54FF">
        <w:rPr>
          <w:rFonts w:ascii="Palatino Linotype" w:hAnsi="Palatino Linotype" w:cstheme="minorHAnsi"/>
          <w:sz w:val="20"/>
          <w:szCs w:val="24"/>
        </w:rPr>
        <w:t xml:space="preserve">. Mengukur Besarnya Peranan Industri Kecil Dalam Perekonomian </w:t>
      </w:r>
      <w:r>
        <w:rPr>
          <w:rFonts w:ascii="Palatino Linotype" w:hAnsi="Palatino Linotype" w:cstheme="minorHAnsi"/>
          <w:sz w:val="20"/>
          <w:szCs w:val="24"/>
        </w:rPr>
        <w:tab/>
      </w:r>
      <w:r w:rsidRPr="005F54FF">
        <w:rPr>
          <w:rFonts w:ascii="Palatino Linotype" w:hAnsi="Palatino Linotype" w:cstheme="minorHAnsi"/>
          <w:sz w:val="20"/>
          <w:szCs w:val="24"/>
        </w:rPr>
        <w:t xml:space="preserve">di Propinsi Jawa Tengah. </w:t>
      </w:r>
      <w:r w:rsidRPr="00DB5DC1">
        <w:rPr>
          <w:rFonts w:ascii="Palatino Linotype" w:hAnsi="Palatino Linotype" w:cstheme="minorHAnsi"/>
          <w:i/>
          <w:sz w:val="20"/>
          <w:szCs w:val="24"/>
        </w:rPr>
        <w:t xml:space="preserve">Dinamika Pembangunan. Vol. 1 No. 2 Desember 2004. Jurnal </w:t>
      </w:r>
      <w:r w:rsidRPr="00DB5DC1">
        <w:rPr>
          <w:rFonts w:ascii="Palatino Linotype" w:hAnsi="Palatino Linotype" w:cstheme="minorHAnsi"/>
          <w:i/>
          <w:sz w:val="20"/>
          <w:szCs w:val="24"/>
        </w:rPr>
        <w:tab/>
        <w:t xml:space="preserve">Ilmiah, </w:t>
      </w:r>
      <w:r w:rsidRPr="00DB5DC1">
        <w:rPr>
          <w:rFonts w:ascii="Palatino Linotype" w:hAnsi="Palatino Linotype" w:cstheme="minorHAnsi"/>
          <w:i/>
          <w:sz w:val="20"/>
          <w:szCs w:val="24"/>
        </w:rPr>
        <w:tab/>
        <w:t>Jurusan IESP. FE UNDIP, Semarang.</w:t>
      </w:r>
    </w:p>
    <w:p w:rsidR="00BF5D40" w:rsidRPr="00DB5DC1" w:rsidRDefault="00BF5D40" w:rsidP="00BF5D40">
      <w:pPr>
        <w:spacing w:after="120" w:line="240" w:lineRule="auto"/>
        <w:jc w:val="both"/>
        <w:rPr>
          <w:rFonts w:ascii="Palatino Linotype" w:hAnsi="Palatino Linotype" w:cstheme="minorHAnsi"/>
          <w:b/>
          <w:i/>
          <w:sz w:val="24"/>
          <w:szCs w:val="24"/>
        </w:rPr>
      </w:pPr>
      <w:r>
        <w:rPr>
          <w:rFonts w:ascii="Palatino Linotype" w:hAnsi="Palatino Linotype" w:cstheme="minorHAnsi"/>
          <w:sz w:val="20"/>
          <w:szCs w:val="24"/>
        </w:rPr>
        <w:t>Setyobudi, Andang.</w:t>
      </w:r>
      <w:r w:rsidRPr="005F54FF">
        <w:rPr>
          <w:rFonts w:ascii="Palatino Linotype" w:hAnsi="Palatino Linotype" w:cstheme="minorHAnsi"/>
          <w:sz w:val="20"/>
          <w:szCs w:val="24"/>
        </w:rPr>
        <w:t xml:space="preserve"> </w:t>
      </w:r>
      <w:r>
        <w:rPr>
          <w:rFonts w:ascii="Palatino Linotype" w:hAnsi="Palatino Linotype" w:cstheme="minorHAnsi"/>
          <w:sz w:val="20"/>
          <w:szCs w:val="24"/>
        </w:rPr>
        <w:t>(</w:t>
      </w:r>
      <w:r w:rsidRPr="005F54FF">
        <w:rPr>
          <w:rFonts w:ascii="Palatino Linotype" w:hAnsi="Palatino Linotype" w:cstheme="minorHAnsi"/>
          <w:sz w:val="20"/>
          <w:szCs w:val="24"/>
        </w:rPr>
        <w:t>2007</w:t>
      </w:r>
      <w:r>
        <w:rPr>
          <w:rFonts w:ascii="Palatino Linotype" w:hAnsi="Palatino Linotype" w:cstheme="minorHAnsi"/>
          <w:sz w:val="20"/>
          <w:szCs w:val="24"/>
        </w:rPr>
        <w:t>)</w:t>
      </w:r>
      <w:r w:rsidRPr="005F54FF">
        <w:rPr>
          <w:rFonts w:ascii="Palatino Linotype" w:hAnsi="Palatino Linotype" w:cstheme="minorHAnsi"/>
          <w:sz w:val="20"/>
          <w:szCs w:val="24"/>
        </w:rPr>
        <w:t xml:space="preserve">. Peran Serta Bank Indonesia Dalam Mengembangkan Usaha Mikro, dan </w:t>
      </w:r>
      <w:r>
        <w:rPr>
          <w:rFonts w:ascii="Palatino Linotype" w:hAnsi="Palatino Linotype" w:cstheme="minorHAnsi"/>
          <w:sz w:val="20"/>
          <w:szCs w:val="24"/>
        </w:rPr>
        <w:tab/>
      </w:r>
      <w:r w:rsidRPr="005F54FF">
        <w:rPr>
          <w:rFonts w:ascii="Palatino Linotype" w:hAnsi="Palatino Linotype" w:cstheme="minorHAnsi"/>
          <w:sz w:val="20"/>
          <w:szCs w:val="24"/>
        </w:rPr>
        <w:t xml:space="preserve">Menengah (MSMES). </w:t>
      </w:r>
      <w:r w:rsidRPr="00DB5DC1">
        <w:rPr>
          <w:rFonts w:ascii="Palatino Linotype" w:hAnsi="Palatino Linotype" w:cstheme="minorHAnsi"/>
          <w:i/>
          <w:sz w:val="20"/>
          <w:szCs w:val="24"/>
        </w:rPr>
        <w:t xml:space="preserve">Buletin Hukum Perbankan dan Kebanksentralan.Volume 5 No.2, </w:t>
      </w:r>
      <w:r w:rsidRPr="00DB5DC1">
        <w:rPr>
          <w:rFonts w:ascii="Palatino Linotype" w:hAnsi="Palatino Linotype" w:cstheme="minorHAnsi"/>
          <w:i/>
          <w:sz w:val="20"/>
          <w:szCs w:val="24"/>
        </w:rPr>
        <w:tab/>
        <w:t>Agustus 2007.</w:t>
      </w:r>
    </w:p>
    <w:p w:rsidR="00BF5D40" w:rsidRDefault="00BF5D40" w:rsidP="00BF5D40">
      <w:pPr>
        <w:spacing w:after="120" w:line="240" w:lineRule="auto"/>
        <w:jc w:val="both"/>
        <w:rPr>
          <w:rFonts w:ascii="Palatino Linotype" w:hAnsi="Palatino Linotype" w:cstheme="minorHAnsi"/>
          <w:b/>
          <w:sz w:val="24"/>
          <w:szCs w:val="24"/>
        </w:rPr>
      </w:pPr>
      <w:r>
        <w:rPr>
          <w:rFonts w:ascii="Palatino Linotype" w:hAnsi="Palatino Linotype" w:cstheme="minorHAnsi"/>
          <w:sz w:val="20"/>
          <w:szCs w:val="24"/>
        </w:rPr>
        <w:t>Sjafrizal.</w:t>
      </w:r>
      <w:r w:rsidRPr="005F54FF">
        <w:rPr>
          <w:rFonts w:ascii="Palatino Linotype" w:hAnsi="Palatino Linotype" w:cstheme="minorHAnsi"/>
          <w:sz w:val="20"/>
          <w:szCs w:val="24"/>
        </w:rPr>
        <w:t xml:space="preserve"> </w:t>
      </w:r>
      <w:r>
        <w:rPr>
          <w:rFonts w:ascii="Palatino Linotype" w:hAnsi="Palatino Linotype" w:cstheme="minorHAnsi"/>
          <w:sz w:val="20"/>
          <w:szCs w:val="24"/>
        </w:rPr>
        <w:t>(</w:t>
      </w:r>
      <w:r w:rsidRPr="005F54FF">
        <w:rPr>
          <w:rFonts w:ascii="Palatino Linotype" w:hAnsi="Palatino Linotype" w:cstheme="minorHAnsi"/>
          <w:sz w:val="20"/>
          <w:szCs w:val="24"/>
        </w:rPr>
        <w:t>2012</w:t>
      </w:r>
      <w:r>
        <w:rPr>
          <w:rFonts w:ascii="Palatino Linotype" w:hAnsi="Palatino Linotype" w:cstheme="minorHAnsi"/>
          <w:sz w:val="20"/>
          <w:szCs w:val="24"/>
        </w:rPr>
        <w:t>)</w:t>
      </w:r>
      <w:r w:rsidRPr="005F54FF">
        <w:rPr>
          <w:rFonts w:ascii="Palatino Linotype" w:hAnsi="Palatino Linotype" w:cstheme="minorHAnsi"/>
          <w:sz w:val="20"/>
          <w:szCs w:val="24"/>
        </w:rPr>
        <w:t xml:space="preserve">. </w:t>
      </w:r>
      <w:r w:rsidRPr="00DB5DC1">
        <w:rPr>
          <w:rFonts w:ascii="Palatino Linotype" w:hAnsi="Palatino Linotype" w:cstheme="minorHAnsi"/>
          <w:i/>
          <w:sz w:val="20"/>
          <w:szCs w:val="24"/>
        </w:rPr>
        <w:t>Ekonomi Wilayah dan Perkotaan</w:t>
      </w:r>
      <w:r w:rsidRPr="005F54FF">
        <w:rPr>
          <w:rFonts w:ascii="Palatino Linotype" w:hAnsi="Palatino Linotype" w:cstheme="minorHAnsi"/>
          <w:sz w:val="20"/>
          <w:szCs w:val="24"/>
        </w:rPr>
        <w:t>. PT. Raja Grapindo Persada, Jakarta.</w:t>
      </w:r>
    </w:p>
    <w:p w:rsidR="00BF5D40" w:rsidRDefault="00BF5D40" w:rsidP="00BF5D40">
      <w:pPr>
        <w:spacing w:after="120" w:line="240" w:lineRule="auto"/>
        <w:jc w:val="both"/>
        <w:rPr>
          <w:rFonts w:ascii="Palatino Linotype" w:hAnsi="Palatino Linotype" w:cstheme="minorHAnsi"/>
          <w:b/>
          <w:sz w:val="24"/>
          <w:szCs w:val="24"/>
        </w:rPr>
      </w:pPr>
      <w:r w:rsidRPr="005F54FF">
        <w:rPr>
          <w:rFonts w:ascii="Palatino Linotype" w:hAnsi="Palatino Linotype" w:cstheme="minorHAnsi"/>
          <w:sz w:val="20"/>
          <w:szCs w:val="24"/>
        </w:rPr>
        <w:t xml:space="preserve">Tambunan, Tulus. </w:t>
      </w:r>
      <w:r>
        <w:rPr>
          <w:rFonts w:ascii="Palatino Linotype" w:hAnsi="Palatino Linotype" w:cstheme="minorHAnsi"/>
          <w:sz w:val="20"/>
          <w:szCs w:val="24"/>
        </w:rPr>
        <w:t>(</w:t>
      </w:r>
      <w:r w:rsidRPr="005F54FF">
        <w:rPr>
          <w:rFonts w:ascii="Palatino Linotype" w:hAnsi="Palatino Linotype" w:cstheme="minorHAnsi"/>
          <w:sz w:val="20"/>
          <w:szCs w:val="24"/>
        </w:rPr>
        <w:t>2012</w:t>
      </w:r>
      <w:r>
        <w:rPr>
          <w:rFonts w:ascii="Palatino Linotype" w:hAnsi="Palatino Linotype" w:cstheme="minorHAnsi"/>
          <w:sz w:val="20"/>
          <w:szCs w:val="24"/>
        </w:rPr>
        <w:t>)</w:t>
      </w:r>
      <w:r w:rsidRPr="005F54FF">
        <w:rPr>
          <w:rFonts w:ascii="Palatino Linotype" w:hAnsi="Palatino Linotype" w:cstheme="minorHAnsi"/>
          <w:sz w:val="20"/>
          <w:szCs w:val="24"/>
        </w:rPr>
        <w:t xml:space="preserve">. </w:t>
      </w:r>
      <w:r w:rsidRPr="00DB5DC1">
        <w:rPr>
          <w:rFonts w:ascii="Palatino Linotype" w:hAnsi="Palatino Linotype" w:cstheme="minorHAnsi"/>
          <w:i/>
          <w:sz w:val="20"/>
          <w:szCs w:val="24"/>
        </w:rPr>
        <w:t>Usaha Mikro Kecil dan Menengah di Indonesia, Isu-Isu Penting</w:t>
      </w:r>
      <w:r w:rsidRPr="005F54FF">
        <w:rPr>
          <w:rFonts w:ascii="Palatino Linotype" w:hAnsi="Palatino Linotype" w:cstheme="minorHAnsi"/>
          <w:sz w:val="20"/>
          <w:szCs w:val="24"/>
        </w:rPr>
        <w:t xml:space="preserve">. LP3ES, </w:t>
      </w:r>
      <w:r>
        <w:rPr>
          <w:rFonts w:ascii="Palatino Linotype" w:hAnsi="Palatino Linotype" w:cstheme="minorHAnsi"/>
          <w:sz w:val="20"/>
          <w:szCs w:val="24"/>
        </w:rPr>
        <w:tab/>
      </w:r>
      <w:r w:rsidRPr="005F54FF">
        <w:rPr>
          <w:rFonts w:ascii="Palatino Linotype" w:hAnsi="Palatino Linotype" w:cstheme="minorHAnsi"/>
          <w:sz w:val="20"/>
          <w:szCs w:val="24"/>
        </w:rPr>
        <w:t>Jakarta.</w:t>
      </w:r>
    </w:p>
    <w:p w:rsidR="00BF5D40" w:rsidRPr="00DB5DC1" w:rsidRDefault="00BF5D40" w:rsidP="00BF5D40">
      <w:pPr>
        <w:spacing w:after="120" w:line="240" w:lineRule="auto"/>
        <w:jc w:val="both"/>
        <w:rPr>
          <w:rFonts w:ascii="Palatino Linotype" w:hAnsi="Palatino Linotype" w:cstheme="minorHAnsi"/>
          <w:b/>
          <w:i/>
          <w:sz w:val="24"/>
          <w:szCs w:val="24"/>
        </w:rPr>
      </w:pPr>
      <w:r w:rsidRPr="005F54FF">
        <w:rPr>
          <w:rFonts w:ascii="Palatino Linotype" w:hAnsi="Palatino Linotype" w:cstheme="minorHAnsi"/>
          <w:sz w:val="20"/>
          <w:szCs w:val="24"/>
        </w:rPr>
        <w:t>Temti</w:t>
      </w:r>
      <w:r>
        <w:rPr>
          <w:rFonts w:ascii="Palatino Linotype" w:hAnsi="Palatino Linotype" w:cstheme="minorHAnsi"/>
          <w:sz w:val="20"/>
          <w:szCs w:val="24"/>
        </w:rPr>
        <w:t>me, Zelealem T., and J. Pansiri. (2004).</w:t>
      </w:r>
      <w:r w:rsidRPr="005F54FF">
        <w:rPr>
          <w:rFonts w:ascii="Palatino Linotype" w:hAnsi="Palatino Linotype" w:cstheme="minorHAnsi"/>
          <w:sz w:val="20"/>
          <w:szCs w:val="24"/>
        </w:rPr>
        <w:t xml:space="preserve"> Small Business Critical Succes/Failure Factors in </w:t>
      </w:r>
      <w:r>
        <w:rPr>
          <w:rFonts w:ascii="Palatino Linotype" w:hAnsi="Palatino Linotype" w:cstheme="minorHAnsi"/>
          <w:sz w:val="20"/>
          <w:szCs w:val="24"/>
        </w:rPr>
        <w:tab/>
      </w:r>
      <w:r w:rsidRPr="005F54FF">
        <w:rPr>
          <w:rFonts w:ascii="Palatino Linotype" w:hAnsi="Palatino Linotype" w:cstheme="minorHAnsi"/>
          <w:sz w:val="20"/>
          <w:szCs w:val="24"/>
        </w:rPr>
        <w:t xml:space="preserve">Developing Economies: Some Evidence From Bostwana, </w:t>
      </w:r>
      <w:r w:rsidRPr="00DB5DC1">
        <w:rPr>
          <w:rFonts w:ascii="Palatino Linotype" w:hAnsi="Palatino Linotype" w:cstheme="minorHAnsi"/>
          <w:i/>
          <w:sz w:val="20"/>
          <w:szCs w:val="24"/>
        </w:rPr>
        <w:t xml:space="preserve">American Journal of Applied </w:t>
      </w:r>
      <w:r w:rsidRPr="00DB5DC1">
        <w:rPr>
          <w:rFonts w:ascii="Palatino Linotype" w:hAnsi="Palatino Linotype" w:cstheme="minorHAnsi"/>
          <w:i/>
          <w:sz w:val="20"/>
          <w:szCs w:val="24"/>
        </w:rPr>
        <w:tab/>
        <w:t>Sciences 1, 18-25.</w:t>
      </w:r>
    </w:p>
    <w:p w:rsidR="00BF5D40" w:rsidRPr="00EC216A" w:rsidRDefault="00BF5D40" w:rsidP="00BF5D40">
      <w:pPr>
        <w:spacing w:after="120" w:line="240" w:lineRule="auto"/>
        <w:jc w:val="both"/>
        <w:rPr>
          <w:rFonts w:ascii="Palatino Linotype" w:hAnsi="Palatino Linotype" w:cstheme="minorHAnsi"/>
          <w:b/>
          <w:sz w:val="24"/>
          <w:szCs w:val="24"/>
        </w:rPr>
      </w:pPr>
      <w:r>
        <w:rPr>
          <w:rFonts w:ascii="Palatino Linotype" w:hAnsi="Palatino Linotype" w:cstheme="minorHAnsi"/>
          <w:sz w:val="20"/>
          <w:szCs w:val="24"/>
        </w:rPr>
        <w:t>Zulfanetti.</w:t>
      </w:r>
      <w:r w:rsidRPr="005F54FF">
        <w:rPr>
          <w:rFonts w:ascii="Palatino Linotype" w:hAnsi="Palatino Linotype" w:cstheme="minorHAnsi"/>
          <w:sz w:val="20"/>
          <w:szCs w:val="24"/>
        </w:rPr>
        <w:t xml:space="preserve"> </w:t>
      </w:r>
      <w:r>
        <w:rPr>
          <w:rFonts w:ascii="Palatino Linotype" w:hAnsi="Palatino Linotype" w:cstheme="minorHAnsi"/>
          <w:sz w:val="20"/>
          <w:szCs w:val="24"/>
        </w:rPr>
        <w:t>(</w:t>
      </w:r>
      <w:r w:rsidRPr="005F54FF">
        <w:rPr>
          <w:rFonts w:ascii="Palatino Linotype" w:hAnsi="Palatino Linotype" w:cstheme="minorHAnsi"/>
          <w:sz w:val="20"/>
          <w:szCs w:val="24"/>
        </w:rPr>
        <w:t>2013</w:t>
      </w:r>
      <w:r>
        <w:rPr>
          <w:rFonts w:ascii="Palatino Linotype" w:hAnsi="Palatino Linotype" w:cstheme="minorHAnsi"/>
          <w:sz w:val="20"/>
          <w:szCs w:val="24"/>
        </w:rPr>
        <w:t>)</w:t>
      </w:r>
      <w:r w:rsidRPr="005F54FF">
        <w:rPr>
          <w:rFonts w:ascii="Palatino Linotype" w:hAnsi="Palatino Linotype" w:cstheme="minorHAnsi"/>
          <w:sz w:val="20"/>
          <w:szCs w:val="24"/>
        </w:rPr>
        <w:t xml:space="preserve">. </w:t>
      </w:r>
      <w:r w:rsidRPr="00DB5DC1">
        <w:rPr>
          <w:rFonts w:ascii="Palatino Linotype" w:hAnsi="Palatino Linotype" w:cstheme="minorHAnsi"/>
          <w:i/>
          <w:sz w:val="20"/>
          <w:szCs w:val="24"/>
        </w:rPr>
        <w:t xml:space="preserve">Kredit Mikro, Kecil dan Menengah dan Pengaruhnya Terhadap Nilai PDB dan </w:t>
      </w:r>
      <w:r w:rsidRPr="00DB5DC1">
        <w:rPr>
          <w:rFonts w:ascii="Palatino Linotype" w:hAnsi="Palatino Linotype" w:cstheme="minorHAnsi"/>
          <w:i/>
          <w:sz w:val="20"/>
          <w:szCs w:val="24"/>
        </w:rPr>
        <w:tab/>
        <w:t>Penyerapan Tenaga Kerja MSMES Serta Kemiskinan di Indonesia.</w:t>
      </w:r>
      <w:r w:rsidRPr="005F54FF">
        <w:rPr>
          <w:rFonts w:ascii="Palatino Linotype" w:hAnsi="Palatino Linotype" w:cstheme="minorHAnsi"/>
          <w:sz w:val="20"/>
          <w:szCs w:val="24"/>
        </w:rPr>
        <w:t xml:space="preserve"> Disertasi pada Program </w:t>
      </w:r>
      <w:r>
        <w:rPr>
          <w:rFonts w:ascii="Palatino Linotype" w:hAnsi="Palatino Linotype" w:cstheme="minorHAnsi"/>
          <w:sz w:val="20"/>
          <w:szCs w:val="24"/>
        </w:rPr>
        <w:tab/>
      </w:r>
      <w:r w:rsidRPr="005F54FF">
        <w:rPr>
          <w:rFonts w:ascii="Palatino Linotype" w:hAnsi="Palatino Linotype" w:cstheme="minorHAnsi"/>
          <w:sz w:val="20"/>
          <w:szCs w:val="24"/>
        </w:rPr>
        <w:t>Pascasarjana. Universitas Padjadjaran, Bandung. Tidak Dipublikasikan.</w:t>
      </w:r>
    </w:p>
    <w:p w:rsidR="00BF5D40" w:rsidRDefault="00BF5D40" w:rsidP="00BF5D40">
      <w:pPr>
        <w:spacing w:after="120" w:line="240" w:lineRule="auto"/>
        <w:ind w:firstLine="284"/>
        <w:jc w:val="both"/>
        <w:rPr>
          <w:rFonts w:ascii="Palatino Linotype" w:hAnsi="Palatino Linotype" w:cstheme="minorHAnsi"/>
          <w:sz w:val="20"/>
          <w:szCs w:val="24"/>
        </w:rPr>
      </w:pPr>
    </w:p>
    <w:p w:rsidR="00077E67" w:rsidRDefault="00077E67" w:rsidP="00BF5D40">
      <w:pPr>
        <w:spacing w:after="120" w:line="240" w:lineRule="auto"/>
        <w:ind w:firstLine="284"/>
        <w:jc w:val="both"/>
        <w:rPr>
          <w:rFonts w:ascii="Palatino Linotype" w:hAnsi="Palatino Linotype" w:cstheme="minorHAnsi"/>
          <w:sz w:val="18"/>
        </w:rPr>
      </w:pPr>
    </w:p>
    <w:sectPr w:rsidR="00077E67" w:rsidSect="00465298">
      <w:type w:val="continuous"/>
      <w:pgSz w:w="11906" w:h="16838"/>
      <w:pgMar w:top="1440" w:right="1440" w:bottom="1440" w:left="1440" w:header="568" w:footer="567" w:gutter="0"/>
      <w:cols w:space="52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386" w:rsidRDefault="000B2386">
      <w:pPr>
        <w:spacing w:after="0" w:line="240" w:lineRule="auto"/>
      </w:pPr>
      <w:r>
        <w:separator/>
      </w:r>
    </w:p>
  </w:endnote>
  <w:endnote w:type="continuationSeparator" w:id="1">
    <w:p w:rsidR="000B2386" w:rsidRDefault="000B2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rmala UI">
    <w:charset w:val="00"/>
    <w:family w:val="swiss"/>
    <w:pitch w:val="variable"/>
    <w:sig w:usb0="80FF8023" w:usb1="0000004A" w:usb2="00000200" w:usb3="00000000" w:csb0="00000001" w:csb1="00000000"/>
  </w:font>
  <w:font w:name="Humanst521 BT">
    <w:altName w:val="Lucida Sans Unicode"/>
    <w:charset w:val="00"/>
    <w:family w:val="swiss"/>
    <w:pitch w:val="default"/>
    <w:sig w:usb0="00000000"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Humanst521 Lt BT">
    <w:altName w:val="Arial"/>
    <w:charset w:val="00"/>
    <w:family w:val="swiss"/>
    <w:pitch w:val="default"/>
    <w:sig w:usb0="00000000" w:usb1="00000000" w:usb2="00000000" w:usb3="00000000" w:csb0="00000011" w:csb1="00000000"/>
  </w:font>
  <w:font w:name="Adobe Myungjo Std M">
    <w:altName w:val="Arial Unicode MS"/>
    <w:charset w:val="80"/>
    <w:family w:val="roman"/>
    <w:pitch w:val="default"/>
    <w:sig w:usb0="00000000" w:usb1="00000000" w:usb2="00000010" w:usb3="00000000" w:csb0="002A0005"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077E67">
    <w:pPr>
      <w:pStyle w:val="Footer"/>
      <w:jc w:val="right"/>
      <w:rPr>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83239A">
    <w:pPr>
      <w:pStyle w:val="NoSpacing1"/>
      <w:jc w:val="right"/>
      <w:rPr>
        <w:rFonts w:ascii="Calisto MT" w:hAnsi="Calisto MT"/>
        <w:b/>
        <w:sz w:val="20"/>
        <w:szCs w:val="20"/>
        <w:lang w:val="en-US"/>
      </w:rPr>
    </w:pPr>
    <w:r>
      <w:rPr>
        <w:rFonts w:ascii="Humanst521 Lt BT" w:eastAsia="Adobe Myungjo Std M" w:hAnsi="Humanst521 Lt BT"/>
        <w:sz w:val="16"/>
        <w:lang w:val="en-US"/>
      </w:rPr>
      <w:t>PROCEEDINGS |</w:t>
    </w:r>
    <w:r w:rsidR="00A30D3F">
      <w:rPr>
        <w:rFonts w:ascii="Humanst521 Lt BT" w:eastAsia="Adobe Myungjo Std M" w:hAnsi="Humanst521 Lt BT"/>
        <w:sz w:val="16"/>
        <w:lang w:val="en-US"/>
      </w:rPr>
      <w:t xml:space="preserve"> the 1</w:t>
    </w:r>
    <w:r w:rsidR="00A30D3F">
      <w:rPr>
        <w:rFonts w:ascii="Humanst521 Lt BT" w:eastAsia="Adobe Myungjo Std M" w:hAnsi="Humanst521 Lt BT"/>
        <w:sz w:val="16"/>
        <w:vertAlign w:val="superscript"/>
        <w:lang w:val="en-US"/>
      </w:rPr>
      <w:t>st</w:t>
    </w:r>
    <w:r w:rsidR="00A30D3F">
      <w:rPr>
        <w:rFonts w:ascii="Humanst521 Lt BT" w:eastAsia="Adobe Myungjo Std M" w:hAnsi="Humanst521 Lt BT"/>
        <w:sz w:val="16"/>
        <w:lang w:val="en-US"/>
      </w:rPr>
      <w:t>Padang International Confe</w:t>
    </w:r>
    <w:r w:rsidR="004C545C">
      <w:rPr>
        <w:rFonts w:ascii="Humanst521 Lt BT" w:eastAsia="Adobe Myungjo Std M" w:hAnsi="Humanst521 Lt BT"/>
        <w:sz w:val="16"/>
        <w:lang w:val="en-US"/>
      </w:rPr>
      <w:t>rence on Education, Economics, B</w:t>
    </w:r>
    <w:r w:rsidR="00A30D3F">
      <w:rPr>
        <w:rFonts w:ascii="Humanst521 Lt BT" w:eastAsia="Adobe Myungjo Std M" w:hAnsi="Humanst521 Lt BT"/>
        <w:sz w:val="16"/>
        <w:lang w:val="en-US"/>
      </w:rPr>
      <w:t xml:space="preserve">usiness and Accounting </w:t>
    </w:r>
    <w:r>
      <w:rPr>
        <w:rFonts w:ascii="Humanst521 Lt BT" w:eastAsia="Adobe Myungjo Std M" w:hAnsi="Humanst521 Lt BT"/>
        <w:sz w:val="16"/>
        <w:lang w:val="en-US"/>
      </w:rPr>
      <w:t xml:space="preserve"> 2018</w:t>
    </w:r>
  </w:p>
  <w:p w:rsidR="00077E67" w:rsidRDefault="00077E67">
    <w:pPr>
      <w:pStyle w:val="Footer"/>
      <w:jc w:val="right"/>
      <w:rPr>
        <w:rFonts w:ascii="Humanst521 Lt BT" w:hAnsi="Humanst521 Lt BT"/>
        <w:sz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83239A">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386" w:rsidRDefault="000B2386">
      <w:pPr>
        <w:spacing w:after="0" w:line="240" w:lineRule="auto"/>
      </w:pPr>
      <w:r>
        <w:separator/>
      </w:r>
    </w:p>
  </w:footnote>
  <w:footnote w:type="continuationSeparator" w:id="1">
    <w:p w:rsidR="000B2386" w:rsidRDefault="000B2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5C" w:rsidRPr="006B3C53" w:rsidRDefault="006B3C53" w:rsidP="004C545C">
    <w:pPr>
      <w:pStyle w:val="Header"/>
      <w:jc w:val="center"/>
      <w:rPr>
        <w:rFonts w:ascii="Humanst521 Lt BT" w:eastAsia="Adobe Myungjo Std M" w:hAnsi="Humanst521 Lt BT"/>
        <w:sz w:val="16"/>
        <w:szCs w:val="16"/>
        <w:lang w:val="en-US"/>
      </w:rPr>
    </w:pPr>
    <w:r>
      <w:rPr>
        <w:rFonts w:ascii="Humanst521 Lt BT" w:eastAsia="Adobe Myungjo Std M" w:hAnsi="Humanst521 Lt BT"/>
        <w:sz w:val="16"/>
      </w:rPr>
      <w:t>Zulfanetti et al</w:t>
    </w:r>
    <w:r w:rsidR="004C545C">
      <w:rPr>
        <w:rFonts w:ascii="Humanst521 Lt BT" w:eastAsia="Adobe Myungjo Std M" w:hAnsi="Humanst521 Lt BT"/>
        <w:sz w:val="16"/>
        <w:lang w:val="en-US"/>
      </w:rPr>
      <w:t xml:space="preserve">,  </w:t>
    </w:r>
    <w:r w:rsidRPr="006B3C53">
      <w:rPr>
        <w:rFonts w:ascii="Humanst521 Lt BT" w:eastAsia="Times New Roman" w:hAnsi="Humanst521 Lt BT"/>
        <w:sz w:val="16"/>
        <w:szCs w:val="16"/>
        <w:lang w:val="en-US"/>
      </w:rPr>
      <w:t>Profile And Development Model Of Micro, Small And Medium Enterprises (M</w:t>
    </w:r>
    <w:r w:rsidRPr="006B3C53">
      <w:rPr>
        <w:rFonts w:ascii="Humanst521 Lt BT" w:eastAsia="Times New Roman" w:hAnsi="Humanst521 Lt BT"/>
        <w:sz w:val="16"/>
        <w:szCs w:val="16"/>
      </w:rPr>
      <w:t>SME</w:t>
    </w:r>
    <w:r w:rsidRPr="006B3C53">
      <w:rPr>
        <w:rFonts w:ascii="Humanst521 Lt BT" w:eastAsia="Times New Roman" w:hAnsi="Humanst521 Lt BT"/>
        <w:sz w:val="16"/>
        <w:szCs w:val="16"/>
        <w:lang w:val="en-US"/>
      </w:rPr>
      <w:t>s)</w:t>
    </w:r>
    <w:r w:rsidRPr="006B3C53">
      <w:rPr>
        <w:rFonts w:ascii="Humanst521 Lt BT" w:eastAsia="Times New Roman" w:hAnsi="Humanst521 Lt BT"/>
        <w:sz w:val="16"/>
        <w:szCs w:val="16"/>
      </w:rPr>
      <w:t xml:space="preserve"> </w:t>
    </w:r>
    <w:r w:rsidRPr="006B3C53">
      <w:rPr>
        <w:rFonts w:ascii="Humanst521 Lt BT" w:eastAsia="Times New Roman" w:hAnsi="Humanst521 Lt BT"/>
        <w:sz w:val="16"/>
        <w:szCs w:val="16"/>
        <w:lang w:val="en-US"/>
      </w:rPr>
      <w:t>In Jambi Province</w:t>
    </w:r>
  </w:p>
  <w:p w:rsidR="00077E67" w:rsidRDefault="00465298">
    <w:pPr>
      <w:pStyle w:val="Header"/>
      <w:jc w:val="right"/>
      <w:rPr>
        <w:rFonts w:ascii="Humanst521 BT" w:hAnsi="Humanst521 BT"/>
      </w:rPr>
    </w:pPr>
    <w:r>
      <w:rPr>
        <w:rFonts w:ascii="Humanst521 BT" w:hAnsi="Humanst521 BT"/>
      </w:rPr>
      <w:fldChar w:fldCharType="begin"/>
    </w:r>
    <w:r w:rsidR="0083239A">
      <w:rPr>
        <w:rFonts w:ascii="Humanst521 BT" w:hAnsi="Humanst521 BT"/>
      </w:rPr>
      <w:instrText xml:space="preserve"> PAGE   \* MERGEFORMAT </w:instrText>
    </w:r>
    <w:r>
      <w:rPr>
        <w:rFonts w:ascii="Humanst521 BT" w:hAnsi="Humanst521 BT"/>
      </w:rPr>
      <w:fldChar w:fldCharType="separate"/>
    </w:r>
    <w:r w:rsidR="00C174D8">
      <w:rPr>
        <w:rFonts w:ascii="Humanst521 BT" w:hAnsi="Humanst521 BT"/>
        <w:noProof/>
      </w:rPr>
      <w:t>4</w:t>
    </w:r>
    <w:r>
      <w:rPr>
        <w:rFonts w:ascii="Humanst521 BT" w:hAnsi="Humanst521 BT"/>
      </w:rPr>
      <w:fldChar w:fldCharType="end"/>
    </w:r>
  </w:p>
  <w:p w:rsidR="00077E67" w:rsidRDefault="00077E67">
    <w:pPr>
      <w:pStyle w:val="Header"/>
      <w:jc w:val="right"/>
      <w:rPr>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465298">
    <w:pPr>
      <w:pStyle w:val="Header"/>
      <w:tabs>
        <w:tab w:val="clear" w:pos="4513"/>
        <w:tab w:val="clear" w:pos="9026"/>
        <w:tab w:val="left" w:pos="1942"/>
      </w:tabs>
      <w:ind w:left="-142"/>
      <w:jc w:val="right"/>
      <w:rPr>
        <w:rFonts w:ascii="Calisto MT" w:hAnsi="Calisto MT"/>
        <w:b/>
        <w:szCs w:val="20"/>
        <w:lang w:val="en-US"/>
      </w:rPr>
    </w:pPr>
    <w:r w:rsidRPr="00465298">
      <w:rPr>
        <w:noProof/>
        <w:lang w:val="en-US"/>
      </w:rPr>
      <w:pict>
        <v:shapetype id="_x0000_t202" coordsize="21600,21600" o:spt="202" path="m,l,21600r21600,l21600,xe">
          <v:stroke joinstyle="miter"/>
          <v:path gradientshapeok="t" o:connecttype="rect"/>
        </v:shapetype>
        <v:shape id="_x0000_s6145" type="#_x0000_t202" style="position:absolute;left:0;text-align:left;margin-left:3pt;margin-top:4.65pt;width:75.85pt;height:44.25pt;z-index:251660288" o:gfxdata="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SdeB0wAAAAYBAAAPAAAAAAAAAAEAIAAAACIAAABkcnMvZG93bnJl&#10;di54bWxQSwECFAAUAAAACACHTuJA+w+eezsCAAB/BAAADgAAAAAAAAABACAAAAAiAQAAZHJzL2Uy&#10;b0RvYy54bWxQSwUGAAAAAAYABgBZAQAAzwUAAAAA&#10;" strokeweight=".5pt">
          <v:stroke joinstyle="round"/>
          <v:textbox>
            <w:txbxContent>
              <w:p w:rsidR="00465298" w:rsidRDefault="000B2386">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465298" w:rsidRDefault="000B2386">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465298" w:rsidRDefault="000B2386">
                <w:pPr>
                  <w:spacing w:after="0" w:line="240" w:lineRule="auto"/>
                  <w:jc w:val="center"/>
                  <w:rPr>
                    <w:b/>
                    <w:bCs/>
                    <w:sz w:val="16"/>
                    <w:szCs w:val="16"/>
                    <w:lang w:val="en-US"/>
                  </w:rPr>
                </w:pPr>
                <w:r>
                  <w:rPr>
                    <w:b/>
                    <w:bCs/>
                    <w:sz w:val="20"/>
                    <w:szCs w:val="20"/>
                    <w:lang w:val="en-US"/>
                  </w:rPr>
                  <w:t>-- 2018 --</w:t>
                </w:r>
              </w:p>
              <w:p w:rsidR="00465298" w:rsidRDefault="00465298">
                <w:pPr>
                  <w:jc w:val="center"/>
                  <w:rPr>
                    <w:b/>
                    <w:bCs/>
                    <w:lang w:val="en-US"/>
                  </w:rPr>
                </w:pPr>
              </w:p>
            </w:txbxContent>
          </v:textbox>
        </v:shape>
      </w:pict>
    </w:r>
    <w:r w:rsidR="0083239A">
      <w:rPr>
        <w:rFonts w:ascii="Calisto MT" w:hAnsi="Calisto MT"/>
        <w:b/>
        <w:szCs w:val="20"/>
        <w:lang w:val="en-US"/>
      </w:rPr>
      <w:t xml:space="preserve">PROCEEDING </w:t>
    </w:r>
    <w:r w:rsidR="0083239A">
      <w:rPr>
        <w:rFonts w:ascii="Calisto MT" w:hAnsi="Calisto MT"/>
        <w:b/>
        <w:sz w:val="28"/>
        <w:szCs w:val="32"/>
        <w:lang w:val="en-US"/>
      </w:rPr>
      <w:t>|</w:t>
    </w:r>
    <w:r w:rsidR="0083239A">
      <w:rPr>
        <w:rFonts w:ascii="Calisto MT" w:hAnsi="Calisto MT"/>
        <w:b/>
        <w:szCs w:val="20"/>
        <w:lang w:val="en-US"/>
      </w:rPr>
      <w:t xml:space="preserve"> The 1</w:t>
    </w:r>
    <w:r w:rsidR="0083239A">
      <w:rPr>
        <w:rFonts w:ascii="Calisto MT" w:hAnsi="Calisto MT"/>
        <w:b/>
        <w:szCs w:val="20"/>
        <w:vertAlign w:val="superscript"/>
        <w:lang w:val="en-US"/>
      </w:rPr>
      <w:t xml:space="preserve">st </w:t>
    </w:r>
    <w:r w:rsidR="0083239A">
      <w:rPr>
        <w:rFonts w:ascii="Calisto MT" w:hAnsi="Calisto MT"/>
        <w:b/>
        <w:szCs w:val="20"/>
        <w:lang w:val="en-US"/>
      </w:rPr>
      <w:t>PICEEBA 2018</w:t>
    </w:r>
  </w:p>
  <w:p w:rsidR="00077E67" w:rsidRDefault="0083239A">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p>
  <w:p w:rsidR="00077E67" w:rsidRPr="00A30D3F" w:rsidRDefault="00077E67">
    <w:pPr>
      <w:pStyle w:val="NoSpacing1"/>
      <w:pBdr>
        <w:bottom w:val="single" w:sz="4" w:space="1" w:color="auto"/>
      </w:pBdr>
      <w:jc w:val="both"/>
      <w:rPr>
        <w:rFonts w:ascii="Calisto MT" w:hAnsi="Calisto MT"/>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884770"/>
    <w:multiLevelType w:val="hybridMultilevel"/>
    <w:tmpl w:val="920668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2778FA"/>
    <w:multiLevelType w:val="hybridMultilevel"/>
    <w:tmpl w:val="BC98A0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C442C9"/>
    <w:multiLevelType w:val="hybridMultilevel"/>
    <w:tmpl w:val="A9DE14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DC3897"/>
    <w:multiLevelType w:val="hybridMultilevel"/>
    <w:tmpl w:val="49F0E5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B4809F4"/>
    <w:multiLevelType w:val="hybridMultilevel"/>
    <w:tmpl w:val="E0E07D94"/>
    <w:lvl w:ilvl="0" w:tplc="3C1EC7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736D3"/>
    <w:multiLevelType w:val="hybridMultilevel"/>
    <w:tmpl w:val="F8CC40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4"/>
  </w:num>
  <w:num w:numId="6">
    <w:abstractNumId w:val="11"/>
  </w:num>
  <w:num w:numId="7">
    <w:abstractNumId w:val="5"/>
  </w:num>
  <w:num w:numId="8">
    <w:abstractNumId w:val="9"/>
  </w:num>
  <w:num w:numId="9">
    <w:abstractNumId w:val="8"/>
  </w:num>
  <w:num w:numId="10">
    <w:abstractNumId w:val="7"/>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10"/>
  <w:displayHorizontalDrawingGridEvery w:val="2"/>
  <w:characterSpacingControl w:val="doNotCompress"/>
  <w:hdrShapeDefaults>
    <o:shapedefaults v:ext="edit" spidmax="7170" fillcolor="white">
      <v:fill color="white"/>
    </o:shapedefaults>
    <o:shapelayout v:ext="edit">
      <o:idmap v:ext="edit" data="6"/>
    </o:shapelayout>
  </w:hdrShapeDefaults>
  <w:footnotePr>
    <w:footnote w:id="0"/>
    <w:footnote w:id="1"/>
  </w:footnotePr>
  <w:endnotePr>
    <w:endnote w:id="0"/>
    <w:endnote w:id="1"/>
  </w:endnotePr>
  <w:compat/>
  <w:rsids>
    <w:rsidRoot w:val="00816279"/>
    <w:rsid w:val="00011F13"/>
    <w:rsid w:val="00016116"/>
    <w:rsid w:val="00031116"/>
    <w:rsid w:val="00033162"/>
    <w:rsid w:val="0004769D"/>
    <w:rsid w:val="000522B3"/>
    <w:rsid w:val="000547FE"/>
    <w:rsid w:val="000566C6"/>
    <w:rsid w:val="00066857"/>
    <w:rsid w:val="00067380"/>
    <w:rsid w:val="00071DA6"/>
    <w:rsid w:val="000761F9"/>
    <w:rsid w:val="000779D9"/>
    <w:rsid w:val="00077E67"/>
    <w:rsid w:val="00080498"/>
    <w:rsid w:val="000846D4"/>
    <w:rsid w:val="000A05AC"/>
    <w:rsid w:val="000A59F8"/>
    <w:rsid w:val="000A77D3"/>
    <w:rsid w:val="000B2386"/>
    <w:rsid w:val="000B287B"/>
    <w:rsid w:val="000B4D95"/>
    <w:rsid w:val="000C6030"/>
    <w:rsid w:val="000E3C42"/>
    <w:rsid w:val="000E68D4"/>
    <w:rsid w:val="000F2036"/>
    <w:rsid w:val="000F4CB4"/>
    <w:rsid w:val="001029EF"/>
    <w:rsid w:val="00103DA8"/>
    <w:rsid w:val="0010540A"/>
    <w:rsid w:val="00111421"/>
    <w:rsid w:val="001165C1"/>
    <w:rsid w:val="00127874"/>
    <w:rsid w:val="0013085E"/>
    <w:rsid w:val="001311B1"/>
    <w:rsid w:val="001362FF"/>
    <w:rsid w:val="00141AFF"/>
    <w:rsid w:val="0014381E"/>
    <w:rsid w:val="00144551"/>
    <w:rsid w:val="001446EA"/>
    <w:rsid w:val="00153C07"/>
    <w:rsid w:val="00175703"/>
    <w:rsid w:val="00175A81"/>
    <w:rsid w:val="001903A3"/>
    <w:rsid w:val="00195ADC"/>
    <w:rsid w:val="00195B71"/>
    <w:rsid w:val="001A348F"/>
    <w:rsid w:val="001A65F1"/>
    <w:rsid w:val="001B0DA2"/>
    <w:rsid w:val="001D4475"/>
    <w:rsid w:val="001E38DD"/>
    <w:rsid w:val="0022397C"/>
    <w:rsid w:val="00226128"/>
    <w:rsid w:val="00236969"/>
    <w:rsid w:val="00240B25"/>
    <w:rsid w:val="002422F1"/>
    <w:rsid w:val="00244E99"/>
    <w:rsid w:val="0025207F"/>
    <w:rsid w:val="00253A77"/>
    <w:rsid w:val="00253D4D"/>
    <w:rsid w:val="00293A59"/>
    <w:rsid w:val="00293E7F"/>
    <w:rsid w:val="002A37D5"/>
    <w:rsid w:val="002C15BF"/>
    <w:rsid w:val="002C3163"/>
    <w:rsid w:val="002D027E"/>
    <w:rsid w:val="002E1D3E"/>
    <w:rsid w:val="002E4B40"/>
    <w:rsid w:val="002F0A6E"/>
    <w:rsid w:val="0030774B"/>
    <w:rsid w:val="00315759"/>
    <w:rsid w:val="00320C61"/>
    <w:rsid w:val="00322EA4"/>
    <w:rsid w:val="003302A9"/>
    <w:rsid w:val="003307CB"/>
    <w:rsid w:val="00342A66"/>
    <w:rsid w:val="00346200"/>
    <w:rsid w:val="00353BD3"/>
    <w:rsid w:val="00354A9E"/>
    <w:rsid w:val="003749FB"/>
    <w:rsid w:val="0037717A"/>
    <w:rsid w:val="00385500"/>
    <w:rsid w:val="0038741C"/>
    <w:rsid w:val="00391683"/>
    <w:rsid w:val="003A3557"/>
    <w:rsid w:val="003A4162"/>
    <w:rsid w:val="003B784A"/>
    <w:rsid w:val="003C082C"/>
    <w:rsid w:val="003C2E4F"/>
    <w:rsid w:val="003C7A61"/>
    <w:rsid w:val="0041082F"/>
    <w:rsid w:val="00421BBD"/>
    <w:rsid w:val="004222BC"/>
    <w:rsid w:val="00426FB6"/>
    <w:rsid w:val="004311DD"/>
    <w:rsid w:val="00435539"/>
    <w:rsid w:val="004544E0"/>
    <w:rsid w:val="00461D25"/>
    <w:rsid w:val="00463610"/>
    <w:rsid w:val="00465298"/>
    <w:rsid w:val="0046707F"/>
    <w:rsid w:val="004769C3"/>
    <w:rsid w:val="00481DBC"/>
    <w:rsid w:val="004821FF"/>
    <w:rsid w:val="004A6BC8"/>
    <w:rsid w:val="004B34E2"/>
    <w:rsid w:val="004B3F3D"/>
    <w:rsid w:val="004C02EA"/>
    <w:rsid w:val="004C1BD4"/>
    <w:rsid w:val="004C2DD5"/>
    <w:rsid w:val="004C545C"/>
    <w:rsid w:val="004C605A"/>
    <w:rsid w:val="004D3415"/>
    <w:rsid w:val="004D7D98"/>
    <w:rsid w:val="004E1DA0"/>
    <w:rsid w:val="004E3B53"/>
    <w:rsid w:val="004F7C3D"/>
    <w:rsid w:val="00506792"/>
    <w:rsid w:val="00507B47"/>
    <w:rsid w:val="00515867"/>
    <w:rsid w:val="005218EB"/>
    <w:rsid w:val="00532A9E"/>
    <w:rsid w:val="00546627"/>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4AA2"/>
    <w:rsid w:val="005B72FA"/>
    <w:rsid w:val="005C4536"/>
    <w:rsid w:val="005D4F37"/>
    <w:rsid w:val="005E0157"/>
    <w:rsid w:val="005E5BCA"/>
    <w:rsid w:val="00614786"/>
    <w:rsid w:val="0062175B"/>
    <w:rsid w:val="00625A3D"/>
    <w:rsid w:val="006334F7"/>
    <w:rsid w:val="00635551"/>
    <w:rsid w:val="0064087B"/>
    <w:rsid w:val="00643CEC"/>
    <w:rsid w:val="00644D1D"/>
    <w:rsid w:val="00661619"/>
    <w:rsid w:val="00661FB0"/>
    <w:rsid w:val="00662CCE"/>
    <w:rsid w:val="006634C4"/>
    <w:rsid w:val="0067274E"/>
    <w:rsid w:val="006773D5"/>
    <w:rsid w:val="00680F83"/>
    <w:rsid w:val="00683D5E"/>
    <w:rsid w:val="0069276A"/>
    <w:rsid w:val="00694276"/>
    <w:rsid w:val="00697636"/>
    <w:rsid w:val="006B1F43"/>
    <w:rsid w:val="006B3C53"/>
    <w:rsid w:val="006E10F0"/>
    <w:rsid w:val="006E51C8"/>
    <w:rsid w:val="006F37D0"/>
    <w:rsid w:val="006F7F8E"/>
    <w:rsid w:val="007340B4"/>
    <w:rsid w:val="00750415"/>
    <w:rsid w:val="00772751"/>
    <w:rsid w:val="007A0226"/>
    <w:rsid w:val="007B0CB3"/>
    <w:rsid w:val="007B6718"/>
    <w:rsid w:val="007C054C"/>
    <w:rsid w:val="007C31C2"/>
    <w:rsid w:val="007C4FBD"/>
    <w:rsid w:val="007C755D"/>
    <w:rsid w:val="007F0C47"/>
    <w:rsid w:val="0080719E"/>
    <w:rsid w:val="00816279"/>
    <w:rsid w:val="0081721F"/>
    <w:rsid w:val="00825A8F"/>
    <w:rsid w:val="0083239A"/>
    <w:rsid w:val="00832DF8"/>
    <w:rsid w:val="00841BC0"/>
    <w:rsid w:val="0084423F"/>
    <w:rsid w:val="00867B2D"/>
    <w:rsid w:val="008723E3"/>
    <w:rsid w:val="00881BD1"/>
    <w:rsid w:val="00882530"/>
    <w:rsid w:val="00897401"/>
    <w:rsid w:val="008A2262"/>
    <w:rsid w:val="008B5EAA"/>
    <w:rsid w:val="008D642C"/>
    <w:rsid w:val="008F3630"/>
    <w:rsid w:val="008F7B44"/>
    <w:rsid w:val="009024FF"/>
    <w:rsid w:val="009068EA"/>
    <w:rsid w:val="00923A79"/>
    <w:rsid w:val="00930905"/>
    <w:rsid w:val="009325FE"/>
    <w:rsid w:val="00934020"/>
    <w:rsid w:val="00935172"/>
    <w:rsid w:val="00942F16"/>
    <w:rsid w:val="009434FE"/>
    <w:rsid w:val="009445EE"/>
    <w:rsid w:val="009651D0"/>
    <w:rsid w:val="00970ABC"/>
    <w:rsid w:val="00977E7C"/>
    <w:rsid w:val="00982F8A"/>
    <w:rsid w:val="0098322B"/>
    <w:rsid w:val="00983276"/>
    <w:rsid w:val="009903C6"/>
    <w:rsid w:val="009C4EE9"/>
    <w:rsid w:val="009C5FFA"/>
    <w:rsid w:val="009C746D"/>
    <w:rsid w:val="009D6A65"/>
    <w:rsid w:val="009E3040"/>
    <w:rsid w:val="009F7B6F"/>
    <w:rsid w:val="00A065FB"/>
    <w:rsid w:val="00A143ED"/>
    <w:rsid w:val="00A21355"/>
    <w:rsid w:val="00A25BBF"/>
    <w:rsid w:val="00A26C19"/>
    <w:rsid w:val="00A30D3F"/>
    <w:rsid w:val="00A323D9"/>
    <w:rsid w:val="00A334FD"/>
    <w:rsid w:val="00A367BF"/>
    <w:rsid w:val="00A45EBE"/>
    <w:rsid w:val="00A46D45"/>
    <w:rsid w:val="00A54D82"/>
    <w:rsid w:val="00A6204F"/>
    <w:rsid w:val="00A63EB2"/>
    <w:rsid w:val="00A8300A"/>
    <w:rsid w:val="00A83B74"/>
    <w:rsid w:val="00A94CB9"/>
    <w:rsid w:val="00A9768E"/>
    <w:rsid w:val="00AA3C39"/>
    <w:rsid w:val="00AD0A71"/>
    <w:rsid w:val="00AE1F61"/>
    <w:rsid w:val="00B0114C"/>
    <w:rsid w:val="00B05DA6"/>
    <w:rsid w:val="00B06817"/>
    <w:rsid w:val="00B07881"/>
    <w:rsid w:val="00B25F2A"/>
    <w:rsid w:val="00B27F6A"/>
    <w:rsid w:val="00B425E7"/>
    <w:rsid w:val="00B44035"/>
    <w:rsid w:val="00B52D36"/>
    <w:rsid w:val="00B723E2"/>
    <w:rsid w:val="00B83E1C"/>
    <w:rsid w:val="00B973FB"/>
    <w:rsid w:val="00BA0647"/>
    <w:rsid w:val="00BA0C42"/>
    <w:rsid w:val="00BA1774"/>
    <w:rsid w:val="00BA7FDC"/>
    <w:rsid w:val="00BB4E24"/>
    <w:rsid w:val="00BC485E"/>
    <w:rsid w:val="00BD5F8D"/>
    <w:rsid w:val="00BF213E"/>
    <w:rsid w:val="00BF5B3C"/>
    <w:rsid w:val="00BF5D40"/>
    <w:rsid w:val="00BF613C"/>
    <w:rsid w:val="00BF6B5E"/>
    <w:rsid w:val="00C07620"/>
    <w:rsid w:val="00C127EF"/>
    <w:rsid w:val="00C174D8"/>
    <w:rsid w:val="00C2488D"/>
    <w:rsid w:val="00C271D7"/>
    <w:rsid w:val="00C30364"/>
    <w:rsid w:val="00C3344C"/>
    <w:rsid w:val="00C50CAF"/>
    <w:rsid w:val="00C6005E"/>
    <w:rsid w:val="00C63D90"/>
    <w:rsid w:val="00C72748"/>
    <w:rsid w:val="00C73D09"/>
    <w:rsid w:val="00C848A6"/>
    <w:rsid w:val="00C9353C"/>
    <w:rsid w:val="00C958CB"/>
    <w:rsid w:val="00C979A5"/>
    <w:rsid w:val="00CA18A4"/>
    <w:rsid w:val="00CA2C35"/>
    <w:rsid w:val="00CA36FB"/>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37183"/>
    <w:rsid w:val="00D47D05"/>
    <w:rsid w:val="00D5425D"/>
    <w:rsid w:val="00D62111"/>
    <w:rsid w:val="00D632E9"/>
    <w:rsid w:val="00D723A2"/>
    <w:rsid w:val="00D72DCA"/>
    <w:rsid w:val="00D81D2A"/>
    <w:rsid w:val="00D9289B"/>
    <w:rsid w:val="00DA692F"/>
    <w:rsid w:val="00DB0871"/>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505E3"/>
    <w:rsid w:val="00E50631"/>
    <w:rsid w:val="00E50755"/>
    <w:rsid w:val="00E54F9B"/>
    <w:rsid w:val="00E5555B"/>
    <w:rsid w:val="00E654E6"/>
    <w:rsid w:val="00E65D06"/>
    <w:rsid w:val="00E84C5E"/>
    <w:rsid w:val="00E87780"/>
    <w:rsid w:val="00EA3A6B"/>
    <w:rsid w:val="00EA591C"/>
    <w:rsid w:val="00EC0571"/>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25138"/>
    <w:rsid w:val="00F3106F"/>
    <w:rsid w:val="00F315B0"/>
    <w:rsid w:val="00F31E3A"/>
    <w:rsid w:val="00F448CC"/>
    <w:rsid w:val="00F46EDA"/>
    <w:rsid w:val="00F55A7C"/>
    <w:rsid w:val="00F96DCF"/>
    <w:rsid w:val="00FA3E09"/>
    <w:rsid w:val="00FC06A1"/>
    <w:rsid w:val="00FC75A9"/>
    <w:rsid w:val="00FD55B6"/>
    <w:rsid w:val="00FE1A89"/>
    <w:rsid w:val="00FE6E88"/>
    <w:rsid w:val="00FE7F42"/>
    <w:rsid w:val="00FF2A18"/>
    <w:rsid w:val="00FF7B7C"/>
    <w:rsid w:val="03957687"/>
    <w:rsid w:val="391238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98"/>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65298"/>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465298"/>
    <w:pPr>
      <w:spacing w:after="120"/>
      <w:ind w:left="283"/>
    </w:pPr>
  </w:style>
  <w:style w:type="paragraph" w:styleId="BodyTextIndent2">
    <w:name w:val="Body Text Indent 2"/>
    <w:basedOn w:val="Normal"/>
    <w:link w:val="BodyTextIndent2Char"/>
    <w:uiPriority w:val="99"/>
    <w:unhideWhenUsed/>
    <w:qFormat/>
    <w:rsid w:val="00465298"/>
    <w:pPr>
      <w:spacing w:after="120" w:line="480" w:lineRule="auto"/>
      <w:ind w:left="283"/>
    </w:pPr>
  </w:style>
  <w:style w:type="paragraph" w:styleId="Footer">
    <w:name w:val="footer"/>
    <w:basedOn w:val="Normal"/>
    <w:link w:val="FooterChar"/>
    <w:uiPriority w:val="99"/>
    <w:unhideWhenUsed/>
    <w:qFormat/>
    <w:rsid w:val="00465298"/>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465298"/>
    <w:pPr>
      <w:spacing w:after="0" w:line="240" w:lineRule="auto"/>
    </w:pPr>
    <w:rPr>
      <w:sz w:val="20"/>
      <w:szCs w:val="20"/>
    </w:rPr>
  </w:style>
  <w:style w:type="paragraph" w:styleId="Header">
    <w:name w:val="header"/>
    <w:basedOn w:val="Normal"/>
    <w:link w:val="HeaderChar"/>
    <w:uiPriority w:val="99"/>
    <w:unhideWhenUsed/>
    <w:rsid w:val="00465298"/>
    <w:pPr>
      <w:tabs>
        <w:tab w:val="center" w:pos="4513"/>
        <w:tab w:val="right" w:pos="9026"/>
      </w:tabs>
      <w:spacing w:after="0" w:line="240" w:lineRule="auto"/>
    </w:pPr>
  </w:style>
  <w:style w:type="character" w:styleId="FollowedHyperlink">
    <w:name w:val="FollowedHyperlink"/>
    <w:uiPriority w:val="99"/>
    <w:unhideWhenUsed/>
    <w:qFormat/>
    <w:rsid w:val="00465298"/>
    <w:rPr>
      <w:color w:val="800080"/>
      <w:u w:val="single"/>
    </w:rPr>
  </w:style>
  <w:style w:type="character" w:styleId="FootnoteReference">
    <w:name w:val="footnote reference"/>
    <w:uiPriority w:val="99"/>
    <w:unhideWhenUsed/>
    <w:qFormat/>
    <w:rsid w:val="00465298"/>
    <w:rPr>
      <w:vertAlign w:val="superscript"/>
    </w:rPr>
  </w:style>
  <w:style w:type="character" w:styleId="Hyperlink">
    <w:name w:val="Hyperlink"/>
    <w:uiPriority w:val="99"/>
    <w:unhideWhenUsed/>
    <w:rsid w:val="00465298"/>
    <w:rPr>
      <w:color w:val="0000FF"/>
      <w:u w:val="single"/>
    </w:rPr>
  </w:style>
  <w:style w:type="table" w:styleId="TableGrid">
    <w:name w:val="Table Grid"/>
    <w:basedOn w:val="TableNormal"/>
    <w:uiPriority w:val="59"/>
    <w:unhideWhenUsed/>
    <w:qFormat/>
    <w:rsid w:val="00465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465298"/>
    <w:pPr>
      <w:ind w:left="720"/>
      <w:contextualSpacing/>
    </w:pPr>
  </w:style>
  <w:style w:type="character" w:customStyle="1" w:styleId="FootnoteTextChar">
    <w:name w:val="Footnote Text Char"/>
    <w:link w:val="FootnoteText"/>
    <w:uiPriority w:val="99"/>
    <w:semiHidden/>
    <w:qFormat/>
    <w:rsid w:val="00465298"/>
    <w:rPr>
      <w:sz w:val="20"/>
      <w:szCs w:val="20"/>
    </w:rPr>
  </w:style>
  <w:style w:type="character" w:customStyle="1" w:styleId="BodyTextIndentChar">
    <w:name w:val="Body Text Indent Char"/>
    <w:basedOn w:val="DefaultParagraphFont"/>
    <w:link w:val="BodyTextIndent"/>
    <w:uiPriority w:val="99"/>
    <w:semiHidden/>
    <w:rsid w:val="00465298"/>
  </w:style>
  <w:style w:type="character" w:customStyle="1" w:styleId="BodyTextIndent2Char">
    <w:name w:val="Body Text Indent 2 Char"/>
    <w:basedOn w:val="DefaultParagraphFont"/>
    <w:link w:val="BodyTextIndent2"/>
    <w:uiPriority w:val="99"/>
    <w:qFormat/>
    <w:rsid w:val="00465298"/>
  </w:style>
  <w:style w:type="character" w:customStyle="1" w:styleId="HeaderChar">
    <w:name w:val="Header Char"/>
    <w:basedOn w:val="DefaultParagraphFont"/>
    <w:link w:val="Header"/>
    <w:uiPriority w:val="99"/>
    <w:rsid w:val="00465298"/>
  </w:style>
  <w:style w:type="character" w:customStyle="1" w:styleId="FooterChar">
    <w:name w:val="Footer Char"/>
    <w:basedOn w:val="DefaultParagraphFont"/>
    <w:link w:val="Footer"/>
    <w:uiPriority w:val="99"/>
    <w:qFormat/>
    <w:rsid w:val="00465298"/>
  </w:style>
  <w:style w:type="character" w:customStyle="1" w:styleId="BalloonTextChar">
    <w:name w:val="Balloon Text Char"/>
    <w:link w:val="BalloonText"/>
    <w:uiPriority w:val="99"/>
    <w:semiHidden/>
    <w:qFormat/>
    <w:rsid w:val="00465298"/>
    <w:rPr>
      <w:rFonts w:ascii="Tahoma" w:hAnsi="Tahoma" w:cs="Tahoma"/>
      <w:sz w:val="16"/>
      <w:szCs w:val="16"/>
    </w:rPr>
  </w:style>
  <w:style w:type="character" w:customStyle="1" w:styleId="hps">
    <w:name w:val="hps"/>
    <w:basedOn w:val="DefaultParagraphFont"/>
    <w:rsid w:val="00465298"/>
  </w:style>
  <w:style w:type="table" w:customStyle="1" w:styleId="PlainTable2">
    <w:name w:val="Plain Table 2"/>
    <w:basedOn w:val="TableNormal"/>
    <w:uiPriority w:val="42"/>
    <w:qFormat/>
    <w:rsid w:val="00465298"/>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sid w:val="00465298"/>
    <w:rPr>
      <w:sz w:val="22"/>
      <w:szCs w:val="22"/>
      <w:lang w:val="id-ID"/>
    </w:rPr>
  </w:style>
  <w:style w:type="paragraph" w:customStyle="1" w:styleId="OpenAcces">
    <w:name w:val="Open Acces"/>
    <w:basedOn w:val="Normal"/>
    <w:link w:val="OpenAccesChar"/>
    <w:qFormat/>
    <w:rsid w:val="00465298"/>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sid w:val="00465298"/>
    <w:rPr>
      <w:rFonts w:ascii="Arial" w:eastAsia="Times New Roman" w:hAnsi="Arial" w:cs="Arial"/>
      <w:color w:val="000000"/>
      <w:sz w:val="15"/>
      <w:szCs w:val="16"/>
    </w:rPr>
  </w:style>
  <w:style w:type="paragraph" w:styleId="ListParagraph">
    <w:name w:val="List Paragraph"/>
    <w:basedOn w:val="Normal"/>
    <w:uiPriority w:val="99"/>
    <w:unhideWhenUsed/>
    <w:rsid w:val="00BF5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XX.XXXXX/XX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da.ida@unja.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ctavia@unja.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zulfa_netti@unja.ac.i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5017B7C-5148-4029-BC3F-5EE903AA1C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77</TotalTime>
  <Pages>13</Pages>
  <Words>4123</Words>
  <Characters>23506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ASUS</cp:lastModifiedBy>
  <cp:revision>4</cp:revision>
  <cp:lastPrinted>2017-01-08T16:59:00Z</cp:lastPrinted>
  <dcterms:created xsi:type="dcterms:W3CDTF">2018-06-14T04:06:00Z</dcterms:created>
  <dcterms:modified xsi:type="dcterms:W3CDTF">2018-06-14T05:22:00Z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