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63" w:rsidRPr="007A5363" w:rsidRDefault="007A5363" w:rsidP="007A5363">
      <w:pPr>
        <w:spacing w:after="0" w:line="240" w:lineRule="auto"/>
        <w:rPr>
          <w:rFonts w:ascii="Palatino Linotype" w:hAnsi="Palatino Linotype"/>
          <w:b/>
        </w:rPr>
      </w:pPr>
      <w:r w:rsidRPr="007A5363">
        <w:rPr>
          <w:rFonts w:ascii="Palatino Linotype" w:hAnsi="Palatino Linotype"/>
          <w:b/>
        </w:rPr>
        <w:t xml:space="preserve">FISCAL AND MONETARY POLICY, OUTPUT AND PRICE IN INDONESIA : </w:t>
      </w:r>
    </w:p>
    <w:p w:rsidR="00077E67" w:rsidRPr="00A30D3F" w:rsidRDefault="007A5363" w:rsidP="007A5363">
      <w:pPr>
        <w:autoSpaceDE w:val="0"/>
        <w:autoSpaceDN w:val="0"/>
        <w:adjustRightInd w:val="0"/>
        <w:spacing w:after="0" w:line="240" w:lineRule="auto"/>
        <w:ind w:right="-46"/>
        <w:rPr>
          <w:rFonts w:ascii="Palatino Linotype" w:hAnsi="Palatino Linotype"/>
          <w:color w:val="000000" w:themeColor="text1"/>
          <w:sz w:val="20"/>
          <w:szCs w:val="20"/>
          <w:lang w:val="en-US"/>
        </w:rPr>
      </w:pPr>
      <w:r w:rsidRPr="007A5363">
        <w:rPr>
          <w:rFonts w:ascii="Palatino Linotype" w:hAnsi="Palatino Linotype"/>
          <w:b/>
        </w:rPr>
        <w:t>WITH EFFECTIVENESS APPROACH</w:t>
      </w:r>
    </w:p>
    <w:p w:rsidR="00077E67" w:rsidRPr="00A30D3F"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077E67" w:rsidRDefault="007A5363">
      <w:pPr>
        <w:autoSpaceDE w:val="0"/>
        <w:autoSpaceDN w:val="0"/>
        <w:adjustRightInd w:val="0"/>
        <w:spacing w:after="0" w:line="240" w:lineRule="auto"/>
        <w:rPr>
          <w:rFonts w:ascii="Palatino Linotype" w:hAnsi="Palatino Linotype"/>
          <w:b/>
          <w:color w:val="000000" w:themeColor="text1"/>
          <w:sz w:val="24"/>
          <w:szCs w:val="26"/>
          <w:lang w:val="en-US"/>
        </w:rPr>
      </w:pPr>
      <w:r>
        <w:rPr>
          <w:rFonts w:ascii="Palatino Linotype" w:hAnsi="Palatino Linotype"/>
          <w:b/>
          <w:color w:val="000000" w:themeColor="text1"/>
          <w:sz w:val="24"/>
          <w:szCs w:val="26"/>
          <w:lang w:val="en-US"/>
        </w:rPr>
        <w:t>Alpon Satrianto</w:t>
      </w:r>
    </w:p>
    <w:p w:rsidR="00077E67" w:rsidRDefault="007A5363">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Universitas Negeri Padang</w:t>
      </w:r>
      <w:r w:rsidR="0083239A">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t>Padang</w:t>
      </w:r>
      <w:r w:rsidR="0083239A">
        <w:rPr>
          <w:rFonts w:ascii="Palatino Linotype" w:hAnsi="Palatino Linotype"/>
          <w:color w:val="000000" w:themeColor="text1"/>
          <w:sz w:val="20"/>
          <w:szCs w:val="20"/>
          <w:lang w:val="en-US"/>
        </w:rPr>
        <w:t xml:space="preserve"> and </w:t>
      </w:r>
      <w:r>
        <w:rPr>
          <w:rFonts w:ascii="Palatino Linotype" w:hAnsi="Palatino Linotype"/>
          <w:color w:val="000000" w:themeColor="text1"/>
          <w:sz w:val="20"/>
          <w:szCs w:val="20"/>
          <w:lang w:val="en-US"/>
        </w:rPr>
        <w:t>Indonesia</w:t>
      </w:r>
      <w:r w:rsidR="0083239A">
        <w:rPr>
          <w:rFonts w:ascii="Palatino Linotype" w:hAnsi="Palatino Linotype"/>
          <w:color w:val="000000" w:themeColor="text1"/>
          <w:sz w:val="20"/>
          <w:szCs w:val="20"/>
          <w:lang w:val="en-US"/>
        </w:rPr>
        <w:t xml:space="preserve">, </w:t>
      </w:r>
      <w:r w:rsidR="0083239A">
        <w:rPr>
          <w:rFonts w:ascii="Palatino Linotype" w:hAnsi="Palatino Linotype"/>
          <w:color w:val="000000" w:themeColor="text1"/>
          <w:sz w:val="20"/>
          <w:szCs w:val="20"/>
          <w:lang w:val="en-US"/>
        </w:rPr>
        <w:sym w:font="Wingdings" w:char="F02A"/>
      </w:r>
      <w:r w:rsidR="0083239A">
        <w:rPr>
          <w:rFonts w:ascii="Palatino Linotype" w:hAnsi="Palatino Linotype"/>
          <w:color w:val="000000" w:themeColor="text1"/>
          <w:sz w:val="20"/>
          <w:szCs w:val="20"/>
          <w:lang w:val="en-US"/>
        </w:rPr>
        <w:t xml:space="preserve">  (e-mail) </w:t>
      </w:r>
      <w:r>
        <w:rPr>
          <w:rFonts w:ascii="Palatino Linotype" w:hAnsi="Palatino Linotype"/>
          <w:color w:val="000000" w:themeColor="text1"/>
          <w:sz w:val="20"/>
          <w:szCs w:val="20"/>
          <w:lang w:val="en-US"/>
        </w:rPr>
        <w:t>alpon.unp@gmail.com</w:t>
      </w:r>
    </w:p>
    <w:p w:rsidR="00077E67" w:rsidRDefault="00077E67">
      <w:pPr>
        <w:autoSpaceDE w:val="0"/>
        <w:autoSpaceDN w:val="0"/>
        <w:adjustRightInd w:val="0"/>
        <w:spacing w:after="0" w:line="360" w:lineRule="auto"/>
        <w:rPr>
          <w:rFonts w:ascii="Humanst521 BT" w:hAnsi="Humanst521 BT"/>
          <w:color w:val="000000" w:themeColor="text1"/>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p>
    <w:p w:rsidR="00077E67" w:rsidRDefault="007A5363">
      <w:pPr>
        <w:pStyle w:val="ListParagraph1"/>
        <w:spacing w:after="0" w:line="240" w:lineRule="auto"/>
        <w:ind w:left="1134" w:right="-46"/>
        <w:jc w:val="both"/>
        <w:rPr>
          <w:rFonts w:ascii="Palatino Linotype" w:hAnsi="Palatino Linotype"/>
          <w:color w:val="000000" w:themeColor="text1"/>
          <w:sz w:val="20"/>
          <w:szCs w:val="20"/>
          <w:lang w:val="en-US"/>
        </w:rPr>
      </w:pPr>
      <w:r w:rsidRPr="00C66BEC">
        <w:rPr>
          <w:rFonts w:ascii="Palatino Linotype" w:eastAsia="Times New Roman" w:hAnsi="Palatino Linotype"/>
          <w:color w:val="000000"/>
          <w:sz w:val="20"/>
          <w:szCs w:val="20"/>
          <w:lang w:eastAsia="id-ID"/>
        </w:rPr>
        <w:t>The purpose of this research is to analyze the most effective policy on output and price. From several literature studies that have been done by many economists only see the effectiveness of fiscal and monetary policy on output alone. No authors find the effectiveness of fiscal and monetary policy on prices. Though macroeconomic variables are not only output but there are many other macroeconomic variables. One such macroeconomic variable is price. The data in this study is in the form of time series from 1970-2015. Fiscal policy uses real government expenditure data, monetary policy uses real money supply data, output uses real GDP data, and prices using Consumer Price Index data (CPI). Data analysis techniques use Vector Auto Regressive (VAR), Impulse Response Function (IRF) and Forecast Error Variance Decomposition (FEVD). A policy is said to be effective if the FEVD method shocks one policy against output variability and the price is greatest compared to other policies.</w:t>
      </w:r>
      <w:r>
        <w:rPr>
          <w:rFonts w:ascii="Palatino Linotype" w:eastAsia="Times New Roman" w:hAnsi="Palatino Linotype"/>
          <w:color w:val="000000"/>
          <w:sz w:val="20"/>
          <w:szCs w:val="20"/>
          <w:lang w:val="en-US" w:eastAsia="id-ID"/>
        </w:rPr>
        <w:t xml:space="preserve"> </w:t>
      </w:r>
      <w:r w:rsidRPr="00C66BEC">
        <w:rPr>
          <w:rFonts w:ascii="Palatino Linotype" w:eastAsia="Times New Roman" w:hAnsi="Palatino Linotype"/>
          <w:color w:val="000000"/>
          <w:sz w:val="20"/>
          <w:szCs w:val="20"/>
          <w:lang w:eastAsia="id-ID"/>
        </w:rPr>
        <w:t>The conclusions of this study indicate that Fiscal Policy is more effective against output and prices in Indonesia compared to Monetary Policy. The effectiveness of Fiscal Policy compared to Monetary Policy can be seen from the contribution of shock Fiscal Policy to the variability of output and prices greater than Monetary Policy.</w:t>
      </w:r>
      <w:r>
        <w:rPr>
          <w:rFonts w:ascii="Palatino Linotype" w:eastAsia="Times New Roman" w:hAnsi="Palatino Linotype"/>
          <w:color w:val="000000"/>
          <w:sz w:val="20"/>
          <w:szCs w:val="20"/>
          <w:lang w:val="en-US" w:eastAsia="id-ID"/>
        </w:rPr>
        <w:t xml:space="preserve"> </w:t>
      </w:r>
      <w:r w:rsidRPr="00C66BEC">
        <w:rPr>
          <w:rFonts w:ascii="Palatino Linotype" w:eastAsia="Times New Roman" w:hAnsi="Palatino Linotype"/>
          <w:color w:val="000000"/>
          <w:sz w:val="20"/>
          <w:szCs w:val="20"/>
          <w:lang w:eastAsia="id-ID"/>
        </w:rPr>
        <w:t>Based on these conclusions, it is suggested to the government through the relevant ministries and Bank Indonesia always maintain the interaction and synergy between Fiscal Policy and monetary to macroeconomic variables.</w:t>
      </w:r>
      <w:r w:rsidR="0083239A">
        <w:rPr>
          <w:rFonts w:ascii="Palatino Linotype" w:hAnsi="Palatino Linotype"/>
          <w:color w:val="000000" w:themeColor="text1"/>
          <w:sz w:val="20"/>
          <w:szCs w:val="20"/>
          <w:lang w:val="en-US"/>
        </w:rPr>
        <w:t xml:space="preserve"> </w:t>
      </w:r>
    </w:p>
    <w:p w:rsidR="00077E67" w:rsidRDefault="00077E67">
      <w:pPr>
        <w:spacing w:after="0" w:line="240" w:lineRule="auto"/>
        <w:ind w:right="522"/>
        <w:jc w:val="both"/>
        <w:rPr>
          <w:rFonts w:ascii="Palatino Linotype" w:hAnsi="Palatino Linotype"/>
          <w:color w:val="000000" w:themeColor="text1"/>
          <w:sz w:val="20"/>
          <w:szCs w:val="20"/>
          <w:lang w:val="en-US"/>
        </w:rPr>
      </w:pPr>
    </w:p>
    <w:p w:rsidR="00077E67" w:rsidRDefault="0083239A">
      <w:pPr>
        <w:pStyle w:val="ListParagraph1"/>
        <w:spacing w:after="0" w:line="240" w:lineRule="auto"/>
        <w:ind w:left="1134" w:right="-46"/>
        <w:jc w:val="both"/>
        <w:rPr>
          <w:rFonts w:ascii="Palatino Linotype" w:hAnsi="Palatino Linotype"/>
          <w:color w:val="000000" w:themeColor="text1"/>
          <w:sz w:val="20"/>
          <w:szCs w:val="20"/>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sidR="007A5363">
        <w:rPr>
          <w:rFonts w:ascii="Palatino Linotype" w:hAnsi="Palatino Linotype"/>
          <w:sz w:val="20"/>
          <w:szCs w:val="20"/>
          <w:lang w:val="en-US"/>
        </w:rPr>
        <w:t xml:space="preserve"> </w:t>
      </w:r>
      <w:r w:rsidR="007A5363" w:rsidRPr="00464A53">
        <w:rPr>
          <w:rFonts w:ascii="Palatino Linotype" w:eastAsia="Times New Roman" w:hAnsi="Palatino Linotype"/>
          <w:color w:val="000000"/>
          <w:sz w:val="20"/>
          <w:szCs w:val="20"/>
          <w:lang w:eastAsia="id-ID"/>
        </w:rPr>
        <w:t>Fiscal, Monetary, Output, Price</w:t>
      </w:r>
      <w:r>
        <w:rPr>
          <w:rFonts w:ascii="Palatino Linotype" w:hAnsi="Palatino Linotype"/>
          <w:color w:val="000000" w:themeColor="text1"/>
          <w:sz w:val="20"/>
          <w:szCs w:val="20"/>
        </w:rPr>
        <w:t> </w:t>
      </w:r>
    </w:p>
    <w:p w:rsidR="00077E67" w:rsidRPr="007A5363" w:rsidRDefault="00077E67">
      <w:pPr>
        <w:spacing w:after="0" w:line="240" w:lineRule="auto"/>
        <w:ind w:right="522"/>
        <w:jc w:val="both"/>
        <w:rPr>
          <w:rFonts w:ascii="Calisto MT" w:hAnsi="Calisto MT"/>
          <w:sz w:val="20"/>
          <w:szCs w:val="20"/>
          <w:lang w:val="en-US"/>
        </w:rPr>
      </w:pPr>
    </w:p>
    <w:p w:rsidR="00077E67" w:rsidRDefault="00077E67">
      <w:pPr>
        <w:spacing w:after="0" w:line="240" w:lineRule="auto"/>
        <w:jc w:val="both"/>
        <w:rPr>
          <w:rFonts w:ascii="Palatino Linotype" w:hAnsi="Palatino Linotype" w:cstheme="minorHAnsi"/>
          <w:b/>
          <w:sz w:val="28"/>
          <w:szCs w:val="24"/>
          <w:lang w:val="en-US"/>
        </w:rPr>
        <w:sectPr w:rsidR="00077E67">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568" w:footer="567" w:gutter="0"/>
          <w:cols w:space="708"/>
          <w:titlePg/>
          <w:docGrid w:linePitch="360"/>
        </w:sectPr>
      </w:pPr>
    </w:p>
    <w:p w:rsidR="00077E67" w:rsidRDefault="00077E67">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7E17CF" w:rsidRPr="007E17CF" w:rsidRDefault="007E17CF" w:rsidP="007E17CF">
      <w:pPr>
        <w:spacing w:after="0" w:line="240" w:lineRule="auto"/>
        <w:ind w:firstLine="567"/>
        <w:jc w:val="both"/>
        <w:rPr>
          <w:rFonts w:ascii="Palatino Linotype" w:eastAsia="Times New Roman" w:hAnsi="Palatino Linotype"/>
          <w:color w:val="000000"/>
          <w:sz w:val="20"/>
          <w:szCs w:val="20"/>
          <w:lang w:eastAsia="id-ID"/>
        </w:rPr>
      </w:pPr>
      <w:r w:rsidRPr="007E17CF">
        <w:rPr>
          <w:rFonts w:ascii="Palatino Linotype" w:eastAsia="Times New Roman" w:hAnsi="Palatino Linotype"/>
          <w:color w:val="000000"/>
          <w:sz w:val="20"/>
          <w:szCs w:val="20"/>
          <w:lang w:eastAsia="id-ID"/>
        </w:rPr>
        <w:t>Increased production of goods and services (output), and the existence of price stability is a macroeconomic goal to be achieved by a country. In order to achieve these objectives as expected, a country's government needs to take appropriate actions and policies in accordance with certain conditions. This policy is known as macroeconomic policy in the form of fiscal policy and monetary policy. The effectiveness of appropriate fiscal and monetary policies is no longer an option, but a necessity in the face of various macroeconomic phenomena and challenges. The effectiveness of this policy is not just the coordination and interaction between the policies, but how these policies are effective in overcoming these economic challenges and phenomena.</w:t>
      </w:r>
    </w:p>
    <w:p w:rsidR="007E17CF" w:rsidRPr="007E17CF" w:rsidRDefault="007E17CF" w:rsidP="007E17CF">
      <w:pPr>
        <w:spacing w:after="0" w:line="240" w:lineRule="auto"/>
        <w:ind w:firstLine="567"/>
        <w:jc w:val="both"/>
        <w:rPr>
          <w:rFonts w:ascii="Palatino Linotype" w:eastAsia="Times New Roman" w:hAnsi="Palatino Linotype"/>
          <w:color w:val="000000"/>
          <w:sz w:val="20"/>
          <w:szCs w:val="20"/>
          <w:lang w:eastAsia="id-ID"/>
        </w:rPr>
      </w:pPr>
      <w:r w:rsidRPr="007E17CF">
        <w:rPr>
          <w:rFonts w:ascii="Palatino Linotype" w:eastAsia="Times New Roman" w:hAnsi="Palatino Linotype"/>
          <w:color w:val="000000"/>
          <w:sz w:val="20"/>
          <w:szCs w:val="20"/>
          <w:lang w:eastAsia="id-ID"/>
        </w:rPr>
        <w:t>The theory of the effectiveness of fiscal and monetary policy was initiated by Classical theory and Keynesian theory. Both theories have different views on the effectiveness of those policies in the economy. The Classical Theory developed by the Monetarist (Neo-classical) further emphasizes the use of monetary policy in overcoming economic problems. This opinion is based on the idea that the effect of monetary policy on aggregate demand is immediate. Extra cash will not necessarily be bought on securities, but directly spent in goods. Fiscal policy in this case is considered less effective in influencing the economy given the effects of crowding out in the policy (Romer, 2011).</w:t>
      </w:r>
    </w:p>
    <w:p w:rsidR="007E17CF" w:rsidRPr="007E17CF" w:rsidRDefault="007E17CF" w:rsidP="007E17CF">
      <w:pPr>
        <w:spacing w:after="0" w:line="240" w:lineRule="auto"/>
        <w:ind w:firstLine="567"/>
        <w:jc w:val="both"/>
        <w:rPr>
          <w:rFonts w:ascii="Palatino Linotype" w:eastAsia="Times New Roman" w:hAnsi="Palatino Linotype"/>
          <w:color w:val="000000"/>
          <w:sz w:val="20"/>
          <w:szCs w:val="20"/>
          <w:lang w:eastAsia="id-ID"/>
        </w:rPr>
      </w:pPr>
      <w:r w:rsidRPr="007E17CF">
        <w:rPr>
          <w:rFonts w:ascii="Palatino Linotype" w:eastAsia="Times New Roman" w:hAnsi="Palatino Linotype"/>
          <w:color w:val="000000"/>
          <w:sz w:val="20"/>
          <w:szCs w:val="20"/>
          <w:lang w:eastAsia="id-ID"/>
        </w:rPr>
        <w:t xml:space="preserve">Keynesian theory has a different opinion from the Classical theory. The theory which was later developed by the modern Keynesian stream emphasized that monetary policy had an impact on the </w:t>
      </w:r>
      <w:r w:rsidRPr="007E17CF">
        <w:rPr>
          <w:rFonts w:ascii="Palatino Linotype" w:eastAsia="Times New Roman" w:hAnsi="Palatino Linotype"/>
          <w:color w:val="000000"/>
          <w:sz w:val="20"/>
          <w:szCs w:val="20"/>
          <w:lang w:eastAsia="id-ID"/>
        </w:rPr>
        <w:lastRenderedPageBreak/>
        <w:t xml:space="preserve">economy through several channels (transmission mechanism). These lines tend to cause the effects of monetary policy to be uncertain. Keynes put more emphasis on the use of fiscal policy in the economy. This is based on his opinion that, first the elasticity of money demand on the interest rate is very small (the extreem is zero) so that the IS curve is upright. Expansive fiscal policy will shift the IS curve right so that the output increases. While monetary expansion with the addition of money supply on an upright IS curve will not affect the output. This shows that fiscal policy will be more effective than monetary policy (Romer, 2011). </w:t>
      </w:r>
    </w:p>
    <w:p w:rsidR="007E17CF" w:rsidRPr="007E17CF" w:rsidRDefault="007E17CF" w:rsidP="007E17CF">
      <w:pPr>
        <w:spacing w:after="0" w:line="240" w:lineRule="auto"/>
        <w:ind w:firstLine="567"/>
        <w:jc w:val="both"/>
        <w:rPr>
          <w:rFonts w:ascii="Palatino Linotype" w:eastAsia="Times New Roman" w:hAnsi="Palatino Linotype"/>
          <w:color w:val="000000"/>
          <w:sz w:val="20"/>
          <w:szCs w:val="20"/>
          <w:lang w:eastAsia="id-ID"/>
        </w:rPr>
      </w:pPr>
      <w:r w:rsidRPr="007E17CF">
        <w:rPr>
          <w:rFonts w:ascii="Palatino Linotype" w:eastAsia="Times New Roman" w:hAnsi="Palatino Linotype"/>
          <w:color w:val="000000"/>
          <w:sz w:val="20"/>
          <w:szCs w:val="20"/>
          <w:lang w:eastAsia="id-ID"/>
        </w:rPr>
        <w:t>Some empirical studies show that on the one hand fiscal policy has a greater impact on the economic activities of a country. On the other hand, it appears that the real fiscal policy has a dominant influence on economic activity in some countries. Chowdhury (1986), Ansari (1996), Khosravi &amp; Karimi (2010), Abata, Kehinde, &amp; Bolarinwa (2012), Fetai (2013), Cyrus (2014), Okorie, Sylvester &amp; Simon-peter (2017) fiscal policies that are more effective in boosting output or economic growth. In particular, government spending is urgently needed when the economy is sluggish. While Ajayi (1974); Ajisafe &amp; Folorunso (2002); Fatima &amp; Iqbal (2003); Rahman (2004); Ali &amp; A, (2008); Weeks (2008); Younus (2008); Adefeso, H.A (2010); Jawaid et al. (2010); Senbet (2011); Snyder &amp; Bruce (2011); Moses &amp; Asare (2013); Rakic &amp; Redenovic (2013); Yunanto &amp; Medyawati, (2014); Sen (2015) suggests that monetary policy is more effective in influencing economic growth.</w:t>
      </w:r>
    </w:p>
    <w:p w:rsidR="00077E67" w:rsidRDefault="007E17CF" w:rsidP="007E17CF">
      <w:pPr>
        <w:spacing w:after="120" w:line="240" w:lineRule="auto"/>
        <w:ind w:firstLine="284"/>
        <w:jc w:val="both"/>
        <w:rPr>
          <w:rFonts w:ascii="Palatino Linotype" w:eastAsia="Times New Roman" w:hAnsi="Palatino Linotype"/>
          <w:color w:val="000000"/>
          <w:sz w:val="20"/>
          <w:szCs w:val="20"/>
          <w:lang w:val="en-US" w:eastAsia="id-ID"/>
        </w:rPr>
      </w:pPr>
      <w:r w:rsidRPr="007E17CF">
        <w:rPr>
          <w:rFonts w:ascii="Palatino Linotype" w:eastAsia="Times New Roman" w:hAnsi="Palatino Linotype"/>
          <w:color w:val="000000"/>
          <w:sz w:val="20"/>
          <w:szCs w:val="20"/>
          <w:lang w:eastAsia="id-ID"/>
        </w:rPr>
        <w:t>From some previous theories and research presented above, it appears that fiscal and monetary policies have an effective impact on economic output or growth. From one side of fiscal policy is considered effective and on the other hand monetary policy is considered effective. However, previous theories and studies only examine one macroeconomic variable of a country. None of these theories and previous studies examined how the effectiveness of fiscal and monetary policies against other macroeconomic objectives such as price. This is important to be studied considering macroeconomic goals not only at the level of output alone. Therefore, this paper will analyze how the effectiveness of fiscal and monetary policy on output and price in Indonesia.</w:t>
      </w:r>
    </w:p>
    <w:p w:rsidR="007E17CF" w:rsidRPr="007E17CF" w:rsidRDefault="007E17CF" w:rsidP="009015B1">
      <w:pPr>
        <w:spacing w:after="120" w:line="240" w:lineRule="auto"/>
        <w:ind w:firstLine="284"/>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7E17CF" w:rsidRPr="007E17CF" w:rsidRDefault="007E17CF" w:rsidP="007E17CF">
      <w:pPr>
        <w:spacing w:after="0" w:line="240" w:lineRule="auto"/>
        <w:ind w:firstLine="567"/>
        <w:jc w:val="both"/>
        <w:rPr>
          <w:rFonts w:ascii="Palatino Linotype" w:eastAsia="Times New Roman" w:hAnsi="Palatino Linotype"/>
          <w:sz w:val="20"/>
          <w:szCs w:val="24"/>
          <w:lang w:eastAsia="id-ID"/>
        </w:rPr>
      </w:pPr>
      <w:r w:rsidRPr="007E17CF">
        <w:rPr>
          <w:rFonts w:ascii="Palatino Linotype" w:eastAsia="Times New Roman" w:hAnsi="Palatino Linotype"/>
          <w:sz w:val="20"/>
          <w:szCs w:val="24"/>
          <w:lang w:eastAsia="id-ID"/>
        </w:rPr>
        <w:t>The data in this study started from 1970 - 2015 with the amount of data (n) of 46. The data obtained from the Central Bureau of Statistics and Bank Indonesia. The data obtained from the Central Bureau of Statistics is the output data measured from the value of Gross Domestic Product at Constant Price Base Year (2010) in million Rupiah. While the price is measured from the Consumer Price Index (CPI). Fiscal policy is measured from real government expenditure and monetary policy is measured from the real money supply (M2) each in million Rupiah.</w:t>
      </w:r>
    </w:p>
    <w:p w:rsidR="007E17CF" w:rsidRPr="007E17CF" w:rsidRDefault="007E17CF" w:rsidP="007E17CF">
      <w:pPr>
        <w:spacing w:after="0" w:line="240" w:lineRule="auto"/>
        <w:ind w:firstLine="567"/>
        <w:jc w:val="both"/>
        <w:rPr>
          <w:rFonts w:ascii="Palatino Linotype" w:eastAsia="Times New Roman" w:hAnsi="Palatino Linotype"/>
          <w:sz w:val="20"/>
          <w:szCs w:val="24"/>
          <w:lang w:val="en-US" w:eastAsia="id-ID"/>
        </w:rPr>
      </w:pPr>
      <w:r w:rsidRPr="007E17CF">
        <w:rPr>
          <w:rFonts w:ascii="Palatino Linotype" w:eastAsia="Times New Roman" w:hAnsi="Palatino Linotype"/>
          <w:sz w:val="20"/>
          <w:szCs w:val="24"/>
          <w:lang w:eastAsia="id-ID"/>
        </w:rPr>
        <w:t>The analysis method used in this research is Vector Autoregression (VAR) / Vector Error Correction Model (VECM). A policy is said to be effective when the shock of a policy toward an endogenous variable is the largest of its role (in percent) compared to other policies (Darsono, 2008) (Nuryati, Siregar, &amp; Ratnawati, 2006). The VAR / VECM equation model looks like this:</w:t>
      </w:r>
    </w:p>
    <w:p w:rsidR="007E17CF" w:rsidRPr="007E17CF" w:rsidRDefault="007E17CF" w:rsidP="007E17CF">
      <w:pPr>
        <w:spacing w:after="0" w:line="240" w:lineRule="auto"/>
        <w:jc w:val="both"/>
        <w:rPr>
          <w:rFonts w:ascii="Palatino Linotype" w:eastAsia="Times New Roman" w:hAnsi="Palatino Linotype"/>
          <w:sz w:val="20"/>
          <w:szCs w:val="24"/>
          <w:lang w:val="en-US" w:eastAsia="id-ID"/>
        </w:rPr>
      </w:pPr>
    </w:p>
    <w:p w:rsidR="007E17CF" w:rsidRPr="007E17CF" w:rsidRDefault="007E17CF" w:rsidP="007E17CF">
      <w:pPr>
        <w:numPr>
          <w:ilvl w:val="0"/>
          <w:numId w:val="7"/>
        </w:numPr>
        <w:spacing w:after="0" w:line="240" w:lineRule="auto"/>
        <w:ind w:left="709"/>
        <w:contextualSpacing/>
        <w:jc w:val="both"/>
        <w:rPr>
          <w:rFonts w:ascii="Palatino Linotype" w:eastAsia="Times New Roman" w:hAnsi="Palatino Linotype"/>
          <w:sz w:val="16"/>
          <w:szCs w:val="24"/>
          <w:lang w:val="en-US" w:eastAsia="id-ID"/>
        </w:rPr>
      </w:pPr>
      <w:r w:rsidRPr="007E17CF">
        <w:rPr>
          <w:rFonts w:ascii="Palatino Linotype" w:hAnsi="Palatino Linotype"/>
          <w:sz w:val="20"/>
          <w:szCs w:val="24"/>
          <w:lang w:val="en-US"/>
        </w:rPr>
        <w:t>Effectiveness of fiscal and monetary policies on output</w:t>
      </w:r>
    </w:p>
    <w:p w:rsidR="007E17CF" w:rsidRPr="007E17CF" w:rsidRDefault="007E17CF" w:rsidP="007E17CF">
      <w:pPr>
        <w:spacing w:after="0" w:line="240" w:lineRule="auto"/>
        <w:ind w:firstLine="567"/>
        <w:jc w:val="both"/>
        <w:rPr>
          <w:rFonts w:ascii="Palatino Linotype" w:eastAsia="Times New Roman" w:hAnsi="Palatino Linotype"/>
          <w:sz w:val="20"/>
          <w:szCs w:val="24"/>
          <w:lang w:val="en-US" w:eastAsia="id-ID"/>
        </w:rPr>
      </w:pPr>
    </w:p>
    <w:p w:rsidR="007E17CF" w:rsidRPr="007E17CF" w:rsidRDefault="007E17CF" w:rsidP="007E17CF">
      <w:pPr>
        <w:spacing w:after="0" w:line="240" w:lineRule="auto"/>
        <w:ind w:firstLine="709"/>
        <w:jc w:val="both"/>
        <w:rPr>
          <w:rFonts w:ascii="Palatino Linotype" w:hAnsi="Palatino Linotype"/>
          <w:sz w:val="20"/>
          <w:szCs w:val="24"/>
          <w:lang w:val="en-US"/>
        </w:rPr>
      </w:pPr>
      <m:oMathPara>
        <m:oMath>
          <m:sSub>
            <m:sSubPr>
              <m:ctrlPr>
                <w:rPr>
                  <w:rFonts w:ascii="Cambria Math" w:hAnsi="Palatino Linotype"/>
                  <w:i/>
                  <w:sz w:val="20"/>
                  <w:szCs w:val="24"/>
                </w:rPr>
              </m:ctrlPr>
            </m:sSubPr>
            <m:e>
              <m:r>
                <w:rPr>
                  <w:rFonts w:ascii="Cambria Math" w:hAnsi="Cambria Math"/>
                  <w:sz w:val="20"/>
                  <w:szCs w:val="24"/>
                </w:rPr>
                <m:t>Y</m:t>
              </m:r>
            </m:e>
            <m:sub>
              <m:r>
                <w:rPr>
                  <w:rFonts w:ascii="Cambria Math" w:hAnsi="Cambria Math"/>
                  <w:sz w:val="20"/>
                  <w:szCs w:val="24"/>
                </w:rPr>
                <m:t>t</m:t>
              </m:r>
            </m:sub>
          </m:sSub>
          <m:r>
            <w:rPr>
              <w:rFonts w:ascii="Cambria Math" w:hAnsi="Palatino Linotype"/>
              <w:sz w:val="20"/>
              <w:szCs w:val="24"/>
            </w:rPr>
            <m:t xml:space="preserve">= </m:t>
          </m:r>
          <m:sSub>
            <m:sSubPr>
              <m:ctrlPr>
                <w:rPr>
                  <w:rFonts w:ascii="Cambria Math" w:hAnsi="Palatino Linotype"/>
                  <w:i/>
                  <w:sz w:val="20"/>
                  <w:szCs w:val="24"/>
                </w:rPr>
              </m:ctrlPr>
            </m:sSubPr>
            <m:e>
              <m:r>
                <w:rPr>
                  <w:rFonts w:ascii="Cambria Math" w:hAnsi="Cambria Math"/>
                  <w:sz w:val="20"/>
                  <w:szCs w:val="24"/>
                </w:rPr>
                <m:t>α</m:t>
              </m:r>
            </m:e>
            <m:sub>
              <m:r>
                <w:rPr>
                  <w:rFonts w:ascii="Cambria Math" w:hAnsi="Palatino Linotype"/>
                  <w:sz w:val="20"/>
                  <w:szCs w:val="24"/>
                </w:rPr>
                <m:t>1</m:t>
              </m:r>
              <m:r>
                <w:rPr>
                  <w:rFonts w:ascii="Cambria Math" w:hAnsi="Cambria Math"/>
                  <w:sz w:val="20"/>
                  <w:szCs w:val="24"/>
                </w:rPr>
                <m:t>i</m:t>
              </m:r>
            </m:sub>
          </m:sSub>
          <m:r>
            <w:rPr>
              <w:rFonts w:ascii="Cambria Math" w:hAnsi="Palatino Linotype"/>
              <w:sz w:val="20"/>
              <w:szCs w:val="24"/>
            </w:rPr>
            <m:t>+</m:t>
          </m:r>
          <m:nary>
            <m:naryPr>
              <m:chr m:val="∑"/>
              <m:limLoc m:val="undOvr"/>
              <m:ctrlPr>
                <w:rPr>
                  <w:rFonts w:ascii="Cambria Math" w:hAnsi="Palatino Linotype"/>
                  <w:i/>
                  <w:sz w:val="20"/>
                  <w:szCs w:val="24"/>
                </w:rPr>
              </m:ctrlPr>
            </m:naryPr>
            <m:sub>
              <m:r>
                <w:rPr>
                  <w:rFonts w:ascii="Cambria Math" w:hAnsi="Palatino Linotype"/>
                  <w:sz w:val="20"/>
                  <w:szCs w:val="24"/>
                </w:rPr>
                <m:t>i=1</m:t>
              </m:r>
            </m:sub>
            <m:sup>
              <m:r>
                <w:rPr>
                  <w:rFonts w:ascii="Cambria Math" w:hAnsi="Palatino Linotype"/>
                  <w:sz w:val="20"/>
                  <w:szCs w:val="24"/>
                </w:rPr>
                <m:t>n</m:t>
              </m:r>
            </m:sup>
            <m:e>
              <m:sSub>
                <m:sSubPr>
                  <m:ctrlPr>
                    <w:rPr>
                      <w:rFonts w:ascii="Cambria Math" w:hAnsi="Palatino Linotype"/>
                      <w:i/>
                      <w:sz w:val="20"/>
                      <w:szCs w:val="24"/>
                    </w:rPr>
                  </m:ctrlPr>
                </m:sSubPr>
                <m:e>
                  <m:r>
                    <w:rPr>
                      <w:rFonts w:ascii="Cambria Math" w:hAnsi="Cambria Math"/>
                      <w:sz w:val="20"/>
                      <w:szCs w:val="24"/>
                    </w:rPr>
                    <m:t>β</m:t>
                  </m:r>
                </m:e>
                <m:sub>
                  <m:r>
                    <w:rPr>
                      <w:rFonts w:ascii="Cambria Math" w:hAnsi="Palatino Linotype"/>
                      <w:sz w:val="20"/>
                      <w:szCs w:val="24"/>
                    </w:rPr>
                    <m:t>1</m:t>
                  </m:r>
                  <m:r>
                    <w:rPr>
                      <w:rFonts w:ascii="Cambria Math" w:hAnsi="Cambria Math"/>
                      <w:sz w:val="20"/>
                      <w:szCs w:val="24"/>
                    </w:rPr>
                    <m:t>i</m:t>
                  </m:r>
                </m:sub>
              </m:sSub>
              <m:sSub>
                <m:sSubPr>
                  <m:ctrlPr>
                    <w:rPr>
                      <w:rFonts w:ascii="Cambria Math" w:hAnsi="Palatino Linotype"/>
                      <w:i/>
                      <w:sz w:val="20"/>
                      <w:szCs w:val="24"/>
                    </w:rPr>
                  </m:ctrlPr>
                </m:sSubPr>
                <m:e>
                  <m:r>
                    <w:rPr>
                      <w:rFonts w:ascii="Cambria Math" w:hAnsi="Cambria Math"/>
                      <w:sz w:val="20"/>
                      <w:szCs w:val="24"/>
                    </w:rPr>
                    <m:t>Y</m:t>
                  </m:r>
                </m:e>
                <m:sub>
                  <m:r>
                    <w:rPr>
                      <w:rFonts w:ascii="Cambria Math" w:hAnsi="Cambria Math"/>
                      <w:sz w:val="20"/>
                      <w:szCs w:val="24"/>
                    </w:rPr>
                    <m:t>t-i</m:t>
                  </m:r>
                </m:sub>
              </m:sSub>
            </m:e>
          </m:nary>
          <m:r>
            <w:rPr>
              <w:rFonts w:ascii="Cambria Math" w:hAnsi="Palatino Linotype"/>
              <w:sz w:val="20"/>
              <w:szCs w:val="24"/>
            </w:rPr>
            <m:t>+</m:t>
          </m:r>
          <m:nary>
            <m:naryPr>
              <m:chr m:val="∑"/>
              <m:limLoc m:val="undOvr"/>
              <m:ctrlPr>
                <w:rPr>
                  <w:rFonts w:ascii="Cambria Math" w:hAnsi="Palatino Linotype"/>
                  <w:i/>
                  <w:sz w:val="20"/>
                  <w:szCs w:val="24"/>
                </w:rPr>
              </m:ctrlPr>
            </m:naryPr>
            <m:sub>
              <m:r>
                <w:rPr>
                  <w:rFonts w:ascii="Cambria Math" w:hAnsi="Palatino Linotype"/>
                  <w:sz w:val="20"/>
                  <w:szCs w:val="24"/>
                </w:rPr>
                <m:t>i=1</m:t>
              </m:r>
            </m:sub>
            <m:sup>
              <m:r>
                <w:rPr>
                  <w:rFonts w:ascii="Cambria Math" w:hAnsi="Palatino Linotype"/>
                  <w:sz w:val="20"/>
                  <w:szCs w:val="24"/>
                </w:rPr>
                <m:t>n</m:t>
              </m:r>
            </m:sup>
            <m:e>
              <m:sSub>
                <m:sSubPr>
                  <m:ctrlPr>
                    <w:rPr>
                      <w:rFonts w:ascii="Cambria Math" w:hAnsi="Palatino Linotype"/>
                      <w:i/>
                      <w:sz w:val="20"/>
                      <w:szCs w:val="24"/>
                    </w:rPr>
                  </m:ctrlPr>
                </m:sSubPr>
                <m:e>
                  <m:r>
                    <w:rPr>
                      <w:rFonts w:ascii="Cambria Math" w:hAnsi="Cambria Math"/>
                      <w:sz w:val="20"/>
                      <w:szCs w:val="24"/>
                    </w:rPr>
                    <m:t>θ</m:t>
                  </m:r>
                </m:e>
                <m:sub>
                  <m:r>
                    <w:rPr>
                      <w:rFonts w:ascii="Cambria Math" w:hAnsi="Palatino Linotype"/>
                      <w:sz w:val="20"/>
                      <w:szCs w:val="24"/>
                    </w:rPr>
                    <m:t>1</m:t>
                  </m:r>
                  <m:r>
                    <w:rPr>
                      <w:rFonts w:ascii="Cambria Math" w:hAnsi="Cambria Math"/>
                      <w:sz w:val="20"/>
                      <w:szCs w:val="24"/>
                    </w:rPr>
                    <m:t>i</m:t>
                  </m:r>
                </m:sub>
              </m:sSub>
              <m:sSub>
                <m:sSubPr>
                  <m:ctrlPr>
                    <w:rPr>
                      <w:rFonts w:ascii="Cambria Math" w:hAnsi="Palatino Linotype"/>
                      <w:i/>
                      <w:sz w:val="20"/>
                      <w:szCs w:val="24"/>
                    </w:rPr>
                  </m:ctrlPr>
                </m:sSubPr>
                <m:e>
                  <m:r>
                    <w:rPr>
                      <w:rFonts w:ascii="Cambria Math" w:hAnsi="Palatino Linotype"/>
                      <w:sz w:val="20"/>
                      <w:szCs w:val="24"/>
                    </w:rPr>
                    <m:t>G</m:t>
                  </m:r>
                </m:e>
                <m:sub>
                  <m:r>
                    <w:rPr>
                      <w:rFonts w:ascii="Cambria Math" w:hAnsi="Palatino Linotype"/>
                      <w:sz w:val="20"/>
                      <w:szCs w:val="24"/>
                    </w:rPr>
                    <m:t>t</m:t>
                  </m:r>
                  <m:r>
                    <w:rPr>
                      <w:rFonts w:ascii="Cambria Math" w:hAnsi="Cambria Math"/>
                      <w:sz w:val="20"/>
                      <w:szCs w:val="24"/>
                    </w:rPr>
                    <m:t>-</m:t>
                  </m:r>
                  <m:r>
                    <w:rPr>
                      <w:rFonts w:ascii="Cambria Math" w:hAnsi="Palatino Linotype"/>
                      <w:sz w:val="20"/>
                      <w:szCs w:val="24"/>
                    </w:rPr>
                    <m:t>i</m:t>
                  </m:r>
                </m:sub>
              </m:sSub>
            </m:e>
          </m:nary>
          <m:r>
            <w:rPr>
              <w:rFonts w:ascii="Cambria Math" w:hAnsi="Palatino Linotype"/>
              <w:sz w:val="20"/>
              <w:szCs w:val="24"/>
            </w:rPr>
            <m:t xml:space="preserve">+ </m:t>
          </m:r>
          <m:nary>
            <m:naryPr>
              <m:chr m:val="∑"/>
              <m:limLoc m:val="undOvr"/>
              <m:ctrlPr>
                <w:rPr>
                  <w:rFonts w:ascii="Cambria Math" w:hAnsi="Palatino Linotype"/>
                  <w:i/>
                  <w:sz w:val="20"/>
                  <w:szCs w:val="24"/>
                </w:rPr>
              </m:ctrlPr>
            </m:naryPr>
            <m:sub>
              <m:r>
                <w:rPr>
                  <w:rFonts w:ascii="Cambria Math" w:hAnsi="Palatino Linotype"/>
                  <w:sz w:val="20"/>
                  <w:szCs w:val="24"/>
                </w:rPr>
                <m:t>i=1</m:t>
              </m:r>
            </m:sub>
            <m:sup>
              <m:r>
                <w:rPr>
                  <w:rFonts w:ascii="Cambria Math" w:hAnsi="Palatino Linotype"/>
                  <w:sz w:val="20"/>
                  <w:szCs w:val="24"/>
                </w:rPr>
                <m:t>n</m:t>
              </m:r>
            </m:sup>
            <m:e>
              <m:sSub>
                <m:sSubPr>
                  <m:ctrlPr>
                    <w:rPr>
                      <w:rFonts w:ascii="Cambria Math" w:hAnsi="Palatino Linotype"/>
                      <w:i/>
                      <w:sz w:val="20"/>
                      <w:szCs w:val="24"/>
                    </w:rPr>
                  </m:ctrlPr>
                </m:sSubPr>
                <m:e>
                  <m:r>
                    <w:rPr>
                      <w:rFonts w:ascii="Cambria Math" w:hAnsi="Cambria Math"/>
                      <w:sz w:val="20"/>
                      <w:szCs w:val="24"/>
                    </w:rPr>
                    <m:t>λ</m:t>
                  </m:r>
                </m:e>
                <m:sub>
                  <m:r>
                    <w:rPr>
                      <w:rFonts w:ascii="Cambria Math" w:hAnsi="Palatino Linotype"/>
                      <w:sz w:val="20"/>
                      <w:szCs w:val="24"/>
                    </w:rPr>
                    <m:t>1</m:t>
                  </m:r>
                  <m:r>
                    <w:rPr>
                      <w:rFonts w:ascii="Cambria Math" w:hAnsi="Cambria Math"/>
                      <w:sz w:val="20"/>
                      <w:szCs w:val="24"/>
                    </w:rPr>
                    <m:t>i</m:t>
                  </m:r>
                </m:sub>
              </m:sSub>
              <m:sSub>
                <m:sSubPr>
                  <m:ctrlPr>
                    <w:rPr>
                      <w:rFonts w:ascii="Cambria Math" w:hAnsi="Palatino Linotype"/>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Palatino Linotype"/>
              <w:sz w:val="20"/>
              <w:szCs w:val="24"/>
            </w:rPr>
            <m:t>+</m:t>
          </m:r>
          <m:sSub>
            <m:sSubPr>
              <m:ctrlPr>
                <w:rPr>
                  <w:rFonts w:ascii="Cambria Math" w:hAnsi="Palatino Linotype"/>
                  <w:i/>
                  <w:sz w:val="20"/>
                  <w:szCs w:val="24"/>
                </w:rPr>
              </m:ctrlPr>
            </m:sSubPr>
            <m:e>
              <m:r>
                <w:rPr>
                  <w:rFonts w:ascii="Cambria Math" w:hAnsi="Cambria Math"/>
                  <w:sz w:val="20"/>
                  <w:szCs w:val="24"/>
                </w:rPr>
                <m:t>ε</m:t>
              </m:r>
            </m:e>
            <m:sub>
              <m:r>
                <w:rPr>
                  <w:rFonts w:ascii="Cambria Math" w:hAnsi="Palatino Linotype"/>
                  <w:sz w:val="20"/>
                  <w:szCs w:val="24"/>
                </w:rPr>
                <m:t>1</m:t>
              </m:r>
              <m:r>
                <w:rPr>
                  <w:rFonts w:ascii="Cambria Math" w:hAnsi="Cambria Math"/>
                  <w:sz w:val="20"/>
                  <w:szCs w:val="24"/>
                </w:rPr>
                <m:t>t</m:t>
              </m:r>
            </m:sub>
          </m:sSub>
        </m:oMath>
      </m:oMathPara>
    </w:p>
    <w:p w:rsidR="007E17CF" w:rsidRPr="007E17CF" w:rsidRDefault="007E17CF" w:rsidP="007E17CF">
      <w:pPr>
        <w:spacing w:after="0" w:line="240" w:lineRule="auto"/>
        <w:ind w:firstLine="709"/>
        <w:jc w:val="both"/>
        <w:rPr>
          <w:rFonts w:ascii="Times New Roman" w:hAnsi="Times New Roman"/>
          <w:sz w:val="20"/>
          <w:szCs w:val="24"/>
          <w:lang w:val="en-US"/>
        </w:rPr>
      </w:pPr>
      <m:oMathPara>
        <m:oMath>
          <m:sSub>
            <m:sSubPr>
              <m:ctrlPr>
                <w:rPr>
                  <w:rFonts w:ascii="Cambria Math" w:hAnsi="Times New Roman"/>
                  <w:i/>
                  <w:sz w:val="20"/>
                  <w:szCs w:val="24"/>
                </w:rPr>
              </m:ctrlPr>
            </m:sSubPr>
            <m:e>
              <m:r>
                <w:rPr>
                  <w:rFonts w:ascii="Cambria Math" w:hAnsi="Cambria Math"/>
                  <w:sz w:val="20"/>
                  <w:szCs w:val="24"/>
                </w:rPr>
                <m:t>G</m:t>
              </m:r>
            </m:e>
            <m:sub>
              <m:r>
                <w:rPr>
                  <w:rFonts w:ascii="Cambria Math" w:hAnsi="Cambria Math"/>
                  <w:sz w:val="20"/>
                  <w:szCs w:val="24"/>
                </w:rPr>
                <m:t>t</m:t>
              </m:r>
            </m:sub>
          </m:sSub>
          <m:r>
            <w:rPr>
              <w:rFonts w:ascii="Cambria Math" w:hAnsi="Times New Roman"/>
              <w:sz w:val="20"/>
              <w:szCs w:val="24"/>
            </w:rPr>
            <m:t xml:space="preserve">= </m:t>
          </m:r>
          <m:sSub>
            <m:sSubPr>
              <m:ctrlPr>
                <w:rPr>
                  <w:rFonts w:ascii="Cambria Math" w:hAnsi="Times New Roman"/>
                  <w:i/>
                  <w:sz w:val="20"/>
                  <w:szCs w:val="24"/>
                </w:rPr>
              </m:ctrlPr>
            </m:sSubPr>
            <m:e>
              <m:r>
                <w:rPr>
                  <w:rFonts w:ascii="Cambria Math" w:hAnsi="Cambria Math"/>
                  <w:sz w:val="20"/>
                  <w:szCs w:val="24"/>
                </w:rPr>
                <m:t>α</m:t>
              </m:r>
            </m:e>
            <m:sub>
              <m:r>
                <w:rPr>
                  <w:rFonts w:ascii="Cambria Math" w:hAnsi="Times New Roman"/>
                  <w:sz w:val="20"/>
                  <w:szCs w:val="24"/>
                </w:rPr>
                <m:t>1</m:t>
              </m:r>
              <m:r>
                <w:rPr>
                  <w:rFonts w:ascii="Cambria Math" w:hAnsi="Cambria Math"/>
                  <w:sz w:val="20"/>
                  <w:szCs w:val="24"/>
                </w:rPr>
                <m:t>i</m:t>
              </m:r>
            </m:sub>
          </m:sSub>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β</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Y</m:t>
                  </m:r>
                </m:e>
                <m:sub>
                  <m:r>
                    <w:rPr>
                      <w:rFonts w:ascii="Cambria Math" w:hAnsi="Cambria Math"/>
                      <w:sz w:val="20"/>
                      <w:szCs w:val="24"/>
                    </w:rPr>
                    <m:t>t-i</m:t>
                  </m:r>
                </m:sub>
              </m:sSub>
            </m:e>
          </m:nary>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θ</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Times New Roman"/>
                      <w:sz w:val="20"/>
                      <w:szCs w:val="24"/>
                    </w:rPr>
                    <m:t>G</m:t>
                  </m:r>
                </m:e>
                <m:sub>
                  <m:r>
                    <w:rPr>
                      <w:rFonts w:ascii="Cambria Math" w:hAnsi="Times New Roman"/>
                      <w:sz w:val="20"/>
                      <w:szCs w:val="24"/>
                    </w:rPr>
                    <m:t>t</m:t>
                  </m:r>
                  <m:r>
                    <w:rPr>
                      <w:rFonts w:ascii="Cambria Math" w:hAnsi="Cambria Math"/>
                      <w:sz w:val="20"/>
                      <w:szCs w:val="24"/>
                    </w:rPr>
                    <m:t>-</m:t>
                  </m:r>
                  <m:r>
                    <w:rPr>
                      <w:rFonts w:ascii="Cambria Math" w:hAnsi="Times New Roman"/>
                      <w:sz w:val="20"/>
                      <w:szCs w:val="24"/>
                    </w:rPr>
                    <m:t>i</m:t>
                  </m:r>
                </m:sub>
              </m:sSub>
            </m:e>
          </m:nary>
          <m:r>
            <w:rPr>
              <w:rFonts w:ascii="Cambria Math" w:hAnsi="Times New Roman"/>
              <w:sz w:val="20"/>
              <w:szCs w:val="24"/>
            </w:rPr>
            <m:t xml:space="preserve">+ </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λ</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Times New Roman"/>
              <w:sz w:val="20"/>
              <w:szCs w:val="24"/>
            </w:rPr>
            <m:t>+</m:t>
          </m:r>
          <m:sSub>
            <m:sSubPr>
              <m:ctrlPr>
                <w:rPr>
                  <w:rFonts w:ascii="Cambria Math" w:hAnsi="Times New Roman"/>
                  <w:i/>
                  <w:sz w:val="20"/>
                  <w:szCs w:val="24"/>
                </w:rPr>
              </m:ctrlPr>
            </m:sSubPr>
            <m:e>
              <m:r>
                <w:rPr>
                  <w:rFonts w:ascii="Cambria Math" w:hAnsi="Cambria Math"/>
                  <w:sz w:val="20"/>
                  <w:szCs w:val="24"/>
                </w:rPr>
                <m:t>ε</m:t>
              </m:r>
            </m:e>
            <m:sub>
              <m:r>
                <w:rPr>
                  <w:rFonts w:ascii="Cambria Math" w:hAnsi="Times New Roman"/>
                  <w:sz w:val="20"/>
                  <w:szCs w:val="24"/>
                </w:rPr>
                <m:t>2</m:t>
              </m:r>
              <m:r>
                <w:rPr>
                  <w:rFonts w:ascii="Cambria Math" w:hAnsi="Cambria Math"/>
                  <w:sz w:val="20"/>
                  <w:szCs w:val="24"/>
                </w:rPr>
                <m:t>t</m:t>
              </m:r>
            </m:sub>
          </m:sSub>
        </m:oMath>
      </m:oMathPara>
    </w:p>
    <w:p w:rsidR="007E17CF" w:rsidRDefault="007E17CF" w:rsidP="007E17CF">
      <w:pPr>
        <w:spacing w:after="0" w:line="240" w:lineRule="auto"/>
        <w:ind w:firstLine="709"/>
        <w:jc w:val="both"/>
        <w:rPr>
          <w:rFonts w:ascii="Times New Roman" w:hAnsi="Times New Roman"/>
          <w:sz w:val="20"/>
          <w:szCs w:val="24"/>
          <w:lang w:val="en-US"/>
        </w:rPr>
      </w:pPr>
      <m:oMathPara>
        <m:oMath>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m:t>
              </m:r>
            </m:sub>
          </m:sSub>
          <m:r>
            <w:rPr>
              <w:rFonts w:ascii="Cambria Math" w:hAnsi="Times New Roman"/>
              <w:sz w:val="20"/>
              <w:szCs w:val="24"/>
            </w:rPr>
            <m:t xml:space="preserve">= </m:t>
          </m:r>
          <m:sSub>
            <m:sSubPr>
              <m:ctrlPr>
                <w:rPr>
                  <w:rFonts w:ascii="Cambria Math" w:hAnsi="Times New Roman"/>
                  <w:i/>
                  <w:sz w:val="20"/>
                  <w:szCs w:val="24"/>
                </w:rPr>
              </m:ctrlPr>
            </m:sSubPr>
            <m:e>
              <m:r>
                <w:rPr>
                  <w:rFonts w:ascii="Cambria Math" w:hAnsi="Cambria Math"/>
                  <w:sz w:val="20"/>
                  <w:szCs w:val="24"/>
                </w:rPr>
                <m:t>α</m:t>
              </m:r>
            </m:e>
            <m:sub>
              <m:r>
                <w:rPr>
                  <w:rFonts w:ascii="Cambria Math" w:hAnsi="Times New Roman"/>
                  <w:sz w:val="20"/>
                  <w:szCs w:val="24"/>
                </w:rPr>
                <m:t>1</m:t>
              </m:r>
              <m:r>
                <w:rPr>
                  <w:rFonts w:ascii="Cambria Math" w:hAnsi="Cambria Math"/>
                  <w:sz w:val="20"/>
                  <w:szCs w:val="24"/>
                </w:rPr>
                <m:t>i</m:t>
              </m:r>
            </m:sub>
          </m:sSub>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β</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Y</m:t>
                  </m:r>
                </m:e>
                <m:sub>
                  <m:r>
                    <w:rPr>
                      <w:rFonts w:ascii="Cambria Math" w:hAnsi="Cambria Math"/>
                      <w:sz w:val="20"/>
                      <w:szCs w:val="24"/>
                    </w:rPr>
                    <m:t>t-i</m:t>
                  </m:r>
                </m:sub>
              </m:sSub>
            </m:e>
          </m:nary>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θ</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Times New Roman"/>
                      <w:sz w:val="20"/>
                      <w:szCs w:val="24"/>
                    </w:rPr>
                    <m:t>G</m:t>
                  </m:r>
                </m:e>
                <m:sub>
                  <m:r>
                    <w:rPr>
                      <w:rFonts w:ascii="Cambria Math" w:hAnsi="Times New Roman"/>
                      <w:sz w:val="20"/>
                      <w:szCs w:val="24"/>
                    </w:rPr>
                    <m:t>t</m:t>
                  </m:r>
                  <m:r>
                    <w:rPr>
                      <w:rFonts w:ascii="Cambria Math" w:hAnsi="Cambria Math"/>
                      <w:sz w:val="20"/>
                      <w:szCs w:val="24"/>
                    </w:rPr>
                    <m:t>-</m:t>
                  </m:r>
                  <m:r>
                    <w:rPr>
                      <w:rFonts w:ascii="Cambria Math" w:hAnsi="Times New Roman"/>
                      <w:sz w:val="20"/>
                      <w:szCs w:val="24"/>
                    </w:rPr>
                    <m:t>i</m:t>
                  </m:r>
                </m:sub>
              </m:sSub>
            </m:e>
          </m:nary>
          <m:r>
            <w:rPr>
              <w:rFonts w:ascii="Cambria Math" w:hAnsi="Times New Roman"/>
              <w:sz w:val="20"/>
              <w:szCs w:val="24"/>
            </w:rPr>
            <m:t xml:space="preserve">+ </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λ</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Times New Roman"/>
              <w:sz w:val="20"/>
              <w:szCs w:val="24"/>
            </w:rPr>
            <m:t>+</m:t>
          </m:r>
          <m:sSub>
            <m:sSubPr>
              <m:ctrlPr>
                <w:rPr>
                  <w:rFonts w:ascii="Cambria Math" w:hAnsi="Times New Roman"/>
                  <w:i/>
                  <w:sz w:val="20"/>
                  <w:szCs w:val="24"/>
                </w:rPr>
              </m:ctrlPr>
            </m:sSubPr>
            <m:e>
              <m:r>
                <w:rPr>
                  <w:rFonts w:ascii="Cambria Math" w:hAnsi="Cambria Math"/>
                  <w:sz w:val="20"/>
                  <w:szCs w:val="24"/>
                </w:rPr>
                <m:t>ε</m:t>
              </m:r>
            </m:e>
            <m:sub>
              <m:r>
                <w:rPr>
                  <w:rFonts w:ascii="Cambria Math" w:hAnsi="Times New Roman"/>
                  <w:sz w:val="20"/>
                  <w:szCs w:val="24"/>
                </w:rPr>
                <m:t>3</m:t>
              </m:r>
              <m:r>
                <w:rPr>
                  <w:rFonts w:ascii="Cambria Math" w:hAnsi="Cambria Math"/>
                  <w:sz w:val="20"/>
                  <w:szCs w:val="24"/>
                </w:rPr>
                <m:t>t</m:t>
              </m:r>
            </m:sub>
          </m:sSub>
        </m:oMath>
      </m:oMathPara>
    </w:p>
    <w:p w:rsidR="007E17CF" w:rsidRDefault="007E17CF" w:rsidP="007E17CF">
      <w:pPr>
        <w:spacing w:after="0" w:line="240" w:lineRule="auto"/>
        <w:ind w:firstLine="709"/>
        <w:jc w:val="both"/>
        <w:rPr>
          <w:rFonts w:ascii="Times New Roman" w:hAnsi="Times New Roman"/>
          <w:sz w:val="20"/>
          <w:szCs w:val="24"/>
          <w:lang w:val="en-US"/>
        </w:rPr>
      </w:pPr>
    </w:p>
    <w:p w:rsidR="007E17CF" w:rsidRDefault="007E17CF" w:rsidP="007E17CF">
      <w:pPr>
        <w:spacing w:after="0" w:line="240" w:lineRule="auto"/>
        <w:ind w:firstLine="709"/>
        <w:jc w:val="both"/>
        <w:rPr>
          <w:rFonts w:ascii="Times New Roman" w:hAnsi="Times New Roman"/>
          <w:sz w:val="20"/>
          <w:szCs w:val="24"/>
          <w:lang w:val="en-US"/>
        </w:rPr>
      </w:pPr>
    </w:p>
    <w:p w:rsidR="007E17CF" w:rsidRPr="007E17CF" w:rsidRDefault="007E17CF" w:rsidP="007E17CF">
      <w:pPr>
        <w:numPr>
          <w:ilvl w:val="0"/>
          <w:numId w:val="7"/>
        </w:numPr>
        <w:spacing w:after="0" w:line="240" w:lineRule="auto"/>
        <w:ind w:left="709"/>
        <w:contextualSpacing/>
        <w:jc w:val="both"/>
        <w:rPr>
          <w:rFonts w:ascii="Palatino Linotype" w:eastAsia="Times New Roman" w:hAnsi="Palatino Linotype"/>
          <w:sz w:val="20"/>
          <w:szCs w:val="24"/>
          <w:lang w:val="en-US" w:eastAsia="id-ID"/>
        </w:rPr>
      </w:pPr>
      <w:r w:rsidRPr="007E17CF">
        <w:rPr>
          <w:rFonts w:ascii="Palatino Linotype" w:eastAsia="Times New Roman" w:hAnsi="Palatino Linotype"/>
          <w:sz w:val="20"/>
          <w:szCs w:val="24"/>
          <w:lang w:val="en-US" w:eastAsia="id-ID"/>
        </w:rPr>
        <w:lastRenderedPageBreak/>
        <w:t>Effectiveness of fiscal and monetary policies on prices</w:t>
      </w:r>
    </w:p>
    <w:p w:rsidR="007E17CF" w:rsidRPr="007E17CF" w:rsidRDefault="007E17CF" w:rsidP="007E17CF">
      <w:pPr>
        <w:spacing w:after="0" w:line="240" w:lineRule="auto"/>
        <w:ind w:firstLine="567"/>
        <w:jc w:val="both"/>
        <w:rPr>
          <w:rFonts w:ascii="Palatino Linotype" w:eastAsia="Times New Roman" w:hAnsi="Palatino Linotype"/>
          <w:sz w:val="20"/>
          <w:szCs w:val="24"/>
          <w:lang w:val="en-US" w:eastAsia="id-ID"/>
        </w:rPr>
      </w:pPr>
    </w:p>
    <w:p w:rsidR="007E17CF" w:rsidRPr="007E17CF" w:rsidRDefault="007E17CF" w:rsidP="007E17CF">
      <w:pPr>
        <w:spacing w:after="0" w:line="240" w:lineRule="auto"/>
        <w:ind w:firstLine="709"/>
        <w:jc w:val="both"/>
        <w:rPr>
          <w:rFonts w:ascii="Times New Roman" w:hAnsi="Times New Roman"/>
          <w:sz w:val="20"/>
          <w:szCs w:val="24"/>
          <w:lang w:val="en-US"/>
        </w:rPr>
      </w:pPr>
      <m:oMathPara>
        <m:oMath>
          <m:sSub>
            <m:sSubPr>
              <m:ctrlPr>
                <w:rPr>
                  <w:rFonts w:ascii="Cambria Math" w:hAnsi="Times New Roman"/>
                  <w:i/>
                  <w:sz w:val="20"/>
                  <w:szCs w:val="24"/>
                </w:rPr>
              </m:ctrlPr>
            </m:sSubPr>
            <m:e>
              <m:r>
                <w:rPr>
                  <w:rFonts w:ascii="Cambria Math" w:hAnsi="Cambria Math"/>
                  <w:sz w:val="20"/>
                  <w:szCs w:val="24"/>
                </w:rPr>
                <m:t>P</m:t>
              </m:r>
            </m:e>
            <m:sub>
              <m:r>
                <w:rPr>
                  <w:rFonts w:ascii="Cambria Math" w:hAnsi="Cambria Math"/>
                  <w:sz w:val="20"/>
                  <w:szCs w:val="24"/>
                </w:rPr>
                <m:t>t</m:t>
              </m:r>
            </m:sub>
          </m:sSub>
          <m:r>
            <w:rPr>
              <w:rFonts w:ascii="Cambria Math" w:hAnsi="Times New Roman"/>
              <w:sz w:val="20"/>
              <w:szCs w:val="24"/>
            </w:rPr>
            <m:t xml:space="preserve">= </m:t>
          </m:r>
          <m:sSub>
            <m:sSubPr>
              <m:ctrlPr>
                <w:rPr>
                  <w:rFonts w:ascii="Cambria Math" w:hAnsi="Times New Roman"/>
                  <w:i/>
                  <w:sz w:val="20"/>
                  <w:szCs w:val="24"/>
                </w:rPr>
              </m:ctrlPr>
            </m:sSubPr>
            <m:e>
              <m:r>
                <w:rPr>
                  <w:rFonts w:ascii="Cambria Math" w:hAnsi="Cambria Math"/>
                  <w:sz w:val="20"/>
                  <w:szCs w:val="24"/>
                </w:rPr>
                <m:t>α</m:t>
              </m:r>
            </m:e>
            <m:sub>
              <m:r>
                <w:rPr>
                  <w:rFonts w:ascii="Cambria Math" w:hAnsi="Times New Roman"/>
                  <w:sz w:val="20"/>
                  <w:szCs w:val="24"/>
                </w:rPr>
                <m:t>1</m:t>
              </m:r>
              <m:r>
                <w:rPr>
                  <w:rFonts w:ascii="Cambria Math" w:hAnsi="Cambria Math"/>
                  <w:sz w:val="20"/>
                  <w:szCs w:val="24"/>
                </w:rPr>
                <m:t>i</m:t>
              </m:r>
            </m:sub>
          </m:sSub>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β</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P</m:t>
                  </m:r>
                </m:e>
                <m:sub>
                  <m:r>
                    <w:rPr>
                      <w:rFonts w:ascii="Cambria Math" w:hAnsi="Cambria Math"/>
                      <w:sz w:val="20"/>
                      <w:szCs w:val="24"/>
                    </w:rPr>
                    <m:t>t-i</m:t>
                  </m:r>
                </m:sub>
              </m:sSub>
            </m:e>
          </m:nary>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θ</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Times New Roman"/>
                      <w:sz w:val="20"/>
                      <w:szCs w:val="24"/>
                    </w:rPr>
                    <m:t>G</m:t>
                  </m:r>
                </m:e>
                <m:sub>
                  <m:r>
                    <w:rPr>
                      <w:rFonts w:ascii="Cambria Math" w:hAnsi="Times New Roman"/>
                      <w:sz w:val="20"/>
                      <w:szCs w:val="24"/>
                    </w:rPr>
                    <m:t>t</m:t>
                  </m:r>
                  <m:r>
                    <w:rPr>
                      <w:rFonts w:ascii="Cambria Math" w:hAnsi="Cambria Math"/>
                      <w:sz w:val="20"/>
                      <w:szCs w:val="24"/>
                    </w:rPr>
                    <m:t>-</m:t>
                  </m:r>
                  <m:r>
                    <w:rPr>
                      <w:rFonts w:ascii="Cambria Math" w:hAnsi="Times New Roman"/>
                      <w:sz w:val="20"/>
                      <w:szCs w:val="24"/>
                    </w:rPr>
                    <m:t>i</m:t>
                  </m:r>
                </m:sub>
              </m:sSub>
            </m:e>
          </m:nary>
          <m:r>
            <w:rPr>
              <w:rFonts w:ascii="Cambria Math" w:hAnsi="Times New Roman"/>
              <w:sz w:val="20"/>
              <w:szCs w:val="24"/>
            </w:rPr>
            <m:t xml:space="preserve">+ </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λ</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Times New Roman"/>
              <w:sz w:val="20"/>
              <w:szCs w:val="24"/>
            </w:rPr>
            <m:t>+</m:t>
          </m:r>
          <m:sSub>
            <m:sSubPr>
              <m:ctrlPr>
                <w:rPr>
                  <w:rFonts w:ascii="Cambria Math" w:hAnsi="Times New Roman"/>
                  <w:i/>
                  <w:sz w:val="20"/>
                  <w:szCs w:val="24"/>
                </w:rPr>
              </m:ctrlPr>
            </m:sSubPr>
            <m:e>
              <m:r>
                <w:rPr>
                  <w:rFonts w:ascii="Cambria Math" w:hAnsi="Cambria Math"/>
                  <w:sz w:val="20"/>
                  <w:szCs w:val="24"/>
                </w:rPr>
                <m:t>ε</m:t>
              </m:r>
            </m:e>
            <m:sub>
              <m:r>
                <w:rPr>
                  <w:rFonts w:ascii="Cambria Math" w:hAnsi="Times New Roman"/>
                  <w:sz w:val="20"/>
                  <w:szCs w:val="24"/>
                </w:rPr>
                <m:t>1</m:t>
              </m:r>
              <m:r>
                <w:rPr>
                  <w:rFonts w:ascii="Cambria Math" w:hAnsi="Cambria Math"/>
                  <w:sz w:val="20"/>
                  <w:szCs w:val="24"/>
                </w:rPr>
                <m:t>t</m:t>
              </m:r>
            </m:sub>
          </m:sSub>
        </m:oMath>
      </m:oMathPara>
    </w:p>
    <w:p w:rsidR="007E17CF" w:rsidRPr="007E17CF" w:rsidRDefault="007E17CF" w:rsidP="007E17CF">
      <w:pPr>
        <w:spacing w:after="0" w:line="240" w:lineRule="auto"/>
        <w:ind w:firstLine="709"/>
        <w:jc w:val="both"/>
        <w:rPr>
          <w:rFonts w:ascii="Times New Roman" w:hAnsi="Times New Roman"/>
          <w:sz w:val="20"/>
          <w:szCs w:val="24"/>
          <w:lang w:val="en-US"/>
        </w:rPr>
      </w:pPr>
      <m:oMathPara>
        <m:oMath>
          <m:sSub>
            <m:sSubPr>
              <m:ctrlPr>
                <w:rPr>
                  <w:rFonts w:ascii="Cambria Math" w:hAnsi="Times New Roman"/>
                  <w:i/>
                  <w:sz w:val="20"/>
                  <w:szCs w:val="24"/>
                </w:rPr>
              </m:ctrlPr>
            </m:sSubPr>
            <m:e>
              <m:r>
                <w:rPr>
                  <w:rFonts w:ascii="Cambria Math" w:hAnsi="Cambria Math"/>
                  <w:sz w:val="20"/>
                  <w:szCs w:val="24"/>
                </w:rPr>
                <m:t>G</m:t>
              </m:r>
            </m:e>
            <m:sub>
              <m:r>
                <w:rPr>
                  <w:rFonts w:ascii="Cambria Math" w:hAnsi="Cambria Math"/>
                  <w:sz w:val="20"/>
                  <w:szCs w:val="24"/>
                </w:rPr>
                <m:t>t</m:t>
              </m:r>
            </m:sub>
          </m:sSub>
          <m:r>
            <w:rPr>
              <w:rFonts w:ascii="Cambria Math" w:hAnsi="Times New Roman"/>
              <w:sz w:val="20"/>
              <w:szCs w:val="24"/>
            </w:rPr>
            <m:t xml:space="preserve">= </m:t>
          </m:r>
          <m:sSub>
            <m:sSubPr>
              <m:ctrlPr>
                <w:rPr>
                  <w:rFonts w:ascii="Cambria Math" w:hAnsi="Times New Roman"/>
                  <w:i/>
                  <w:sz w:val="20"/>
                  <w:szCs w:val="24"/>
                </w:rPr>
              </m:ctrlPr>
            </m:sSubPr>
            <m:e>
              <m:r>
                <w:rPr>
                  <w:rFonts w:ascii="Cambria Math" w:hAnsi="Cambria Math"/>
                  <w:sz w:val="20"/>
                  <w:szCs w:val="24"/>
                </w:rPr>
                <m:t>α</m:t>
              </m:r>
            </m:e>
            <m:sub>
              <m:r>
                <w:rPr>
                  <w:rFonts w:ascii="Cambria Math" w:hAnsi="Times New Roman"/>
                  <w:sz w:val="20"/>
                  <w:szCs w:val="24"/>
                </w:rPr>
                <m:t>1</m:t>
              </m:r>
              <m:r>
                <w:rPr>
                  <w:rFonts w:ascii="Cambria Math" w:hAnsi="Cambria Math"/>
                  <w:sz w:val="20"/>
                  <w:szCs w:val="24"/>
                </w:rPr>
                <m:t>i</m:t>
              </m:r>
            </m:sub>
          </m:sSub>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β</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P</m:t>
                  </m:r>
                </m:e>
                <m:sub>
                  <m:r>
                    <w:rPr>
                      <w:rFonts w:ascii="Cambria Math" w:hAnsi="Cambria Math"/>
                      <w:sz w:val="20"/>
                      <w:szCs w:val="24"/>
                    </w:rPr>
                    <m:t>t-i</m:t>
                  </m:r>
                </m:sub>
              </m:sSub>
            </m:e>
          </m:nary>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θ</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Times New Roman"/>
                      <w:sz w:val="20"/>
                      <w:szCs w:val="24"/>
                    </w:rPr>
                    <m:t>G</m:t>
                  </m:r>
                </m:e>
                <m:sub>
                  <m:r>
                    <w:rPr>
                      <w:rFonts w:ascii="Cambria Math" w:hAnsi="Times New Roman"/>
                      <w:sz w:val="20"/>
                      <w:szCs w:val="24"/>
                    </w:rPr>
                    <m:t>t</m:t>
                  </m:r>
                  <m:r>
                    <w:rPr>
                      <w:rFonts w:ascii="Cambria Math" w:hAnsi="Cambria Math"/>
                      <w:sz w:val="20"/>
                      <w:szCs w:val="24"/>
                    </w:rPr>
                    <m:t>-</m:t>
                  </m:r>
                  <m:r>
                    <w:rPr>
                      <w:rFonts w:ascii="Cambria Math" w:hAnsi="Times New Roman"/>
                      <w:sz w:val="20"/>
                      <w:szCs w:val="24"/>
                    </w:rPr>
                    <m:t>i</m:t>
                  </m:r>
                </m:sub>
              </m:sSub>
            </m:e>
          </m:nary>
          <m:r>
            <w:rPr>
              <w:rFonts w:ascii="Cambria Math" w:hAnsi="Times New Roman"/>
              <w:sz w:val="20"/>
              <w:szCs w:val="24"/>
            </w:rPr>
            <m:t xml:space="preserve">+ </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λ</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Times New Roman"/>
              <w:sz w:val="20"/>
              <w:szCs w:val="24"/>
            </w:rPr>
            <m:t>+</m:t>
          </m:r>
          <m:sSub>
            <m:sSubPr>
              <m:ctrlPr>
                <w:rPr>
                  <w:rFonts w:ascii="Cambria Math" w:hAnsi="Times New Roman"/>
                  <w:i/>
                  <w:sz w:val="20"/>
                  <w:szCs w:val="24"/>
                </w:rPr>
              </m:ctrlPr>
            </m:sSubPr>
            <m:e>
              <m:r>
                <w:rPr>
                  <w:rFonts w:ascii="Cambria Math" w:hAnsi="Cambria Math"/>
                  <w:sz w:val="20"/>
                  <w:szCs w:val="24"/>
                </w:rPr>
                <m:t>ε</m:t>
              </m:r>
            </m:e>
            <m:sub>
              <m:r>
                <w:rPr>
                  <w:rFonts w:ascii="Cambria Math" w:hAnsi="Times New Roman"/>
                  <w:sz w:val="20"/>
                  <w:szCs w:val="24"/>
                </w:rPr>
                <m:t>2</m:t>
              </m:r>
              <m:r>
                <w:rPr>
                  <w:rFonts w:ascii="Cambria Math" w:hAnsi="Cambria Math"/>
                  <w:sz w:val="20"/>
                  <w:szCs w:val="24"/>
                </w:rPr>
                <m:t>t</m:t>
              </m:r>
            </m:sub>
          </m:sSub>
        </m:oMath>
      </m:oMathPara>
    </w:p>
    <w:p w:rsidR="007E17CF" w:rsidRPr="007E17CF" w:rsidRDefault="007E17CF" w:rsidP="007E17CF">
      <w:pPr>
        <w:spacing w:after="0" w:line="240" w:lineRule="auto"/>
        <w:ind w:firstLine="709"/>
        <w:jc w:val="both"/>
        <w:rPr>
          <w:rFonts w:ascii="Times New Roman" w:eastAsia="Times New Roman" w:hAnsi="Times New Roman"/>
          <w:sz w:val="20"/>
          <w:szCs w:val="24"/>
          <w:lang w:val="en-US"/>
        </w:rPr>
      </w:pPr>
      <m:oMathPara>
        <m:oMath>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m:t>
              </m:r>
            </m:sub>
          </m:sSub>
          <m:r>
            <w:rPr>
              <w:rFonts w:ascii="Cambria Math" w:hAnsi="Times New Roman"/>
              <w:sz w:val="20"/>
              <w:szCs w:val="24"/>
            </w:rPr>
            <m:t xml:space="preserve">= </m:t>
          </m:r>
          <m:sSub>
            <m:sSubPr>
              <m:ctrlPr>
                <w:rPr>
                  <w:rFonts w:ascii="Cambria Math" w:hAnsi="Times New Roman"/>
                  <w:i/>
                  <w:sz w:val="20"/>
                  <w:szCs w:val="24"/>
                </w:rPr>
              </m:ctrlPr>
            </m:sSubPr>
            <m:e>
              <m:r>
                <w:rPr>
                  <w:rFonts w:ascii="Cambria Math" w:hAnsi="Cambria Math"/>
                  <w:sz w:val="20"/>
                  <w:szCs w:val="24"/>
                </w:rPr>
                <m:t>α</m:t>
              </m:r>
            </m:e>
            <m:sub>
              <m:r>
                <w:rPr>
                  <w:rFonts w:ascii="Cambria Math" w:hAnsi="Times New Roman"/>
                  <w:sz w:val="20"/>
                  <w:szCs w:val="24"/>
                </w:rPr>
                <m:t>1</m:t>
              </m:r>
              <m:r>
                <w:rPr>
                  <w:rFonts w:ascii="Cambria Math" w:hAnsi="Cambria Math"/>
                  <w:sz w:val="20"/>
                  <w:szCs w:val="24"/>
                </w:rPr>
                <m:t>i</m:t>
              </m:r>
            </m:sub>
          </m:sSub>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β</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P</m:t>
                  </m:r>
                </m:e>
                <m:sub>
                  <m:r>
                    <w:rPr>
                      <w:rFonts w:ascii="Cambria Math" w:hAnsi="Cambria Math"/>
                      <w:sz w:val="20"/>
                      <w:szCs w:val="24"/>
                    </w:rPr>
                    <m:t>t-i</m:t>
                  </m:r>
                </m:sub>
              </m:sSub>
            </m:e>
          </m:nary>
          <m:r>
            <w:rPr>
              <w:rFonts w:ascii="Cambria Math" w:hAnsi="Times New Roman"/>
              <w:sz w:val="20"/>
              <w:szCs w:val="24"/>
            </w:rPr>
            <m:t>+</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θ</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Times New Roman"/>
                      <w:sz w:val="20"/>
                      <w:szCs w:val="24"/>
                    </w:rPr>
                    <m:t>G</m:t>
                  </m:r>
                </m:e>
                <m:sub>
                  <m:r>
                    <w:rPr>
                      <w:rFonts w:ascii="Cambria Math" w:hAnsi="Times New Roman"/>
                      <w:sz w:val="20"/>
                      <w:szCs w:val="24"/>
                    </w:rPr>
                    <m:t>t</m:t>
                  </m:r>
                  <m:r>
                    <w:rPr>
                      <w:rFonts w:ascii="Cambria Math" w:hAnsi="Cambria Math"/>
                      <w:sz w:val="20"/>
                      <w:szCs w:val="24"/>
                    </w:rPr>
                    <m:t>-</m:t>
                  </m:r>
                  <m:r>
                    <w:rPr>
                      <w:rFonts w:ascii="Cambria Math" w:hAnsi="Times New Roman"/>
                      <w:sz w:val="20"/>
                      <w:szCs w:val="24"/>
                    </w:rPr>
                    <m:t>i</m:t>
                  </m:r>
                </m:sub>
              </m:sSub>
            </m:e>
          </m:nary>
          <m:r>
            <w:rPr>
              <w:rFonts w:ascii="Cambria Math" w:hAnsi="Times New Roman"/>
              <w:sz w:val="20"/>
              <w:szCs w:val="24"/>
            </w:rPr>
            <m:t xml:space="preserve">+ </m:t>
          </m:r>
          <m:nary>
            <m:naryPr>
              <m:chr m:val="∑"/>
              <m:limLoc m:val="undOvr"/>
              <m:ctrlPr>
                <w:rPr>
                  <w:rFonts w:ascii="Cambria Math" w:hAnsi="Times New Roman"/>
                  <w:i/>
                  <w:sz w:val="20"/>
                  <w:szCs w:val="24"/>
                </w:rPr>
              </m:ctrlPr>
            </m:naryPr>
            <m:sub>
              <m:r>
                <w:rPr>
                  <w:rFonts w:ascii="Cambria Math" w:hAnsi="Times New Roman"/>
                  <w:sz w:val="20"/>
                  <w:szCs w:val="24"/>
                </w:rPr>
                <m:t>i=1</m:t>
              </m:r>
            </m:sub>
            <m:sup>
              <m:r>
                <w:rPr>
                  <w:rFonts w:ascii="Cambria Math" w:hAnsi="Times New Roman"/>
                  <w:sz w:val="20"/>
                  <w:szCs w:val="24"/>
                </w:rPr>
                <m:t>n</m:t>
              </m:r>
            </m:sup>
            <m:e>
              <m:sSub>
                <m:sSubPr>
                  <m:ctrlPr>
                    <w:rPr>
                      <w:rFonts w:ascii="Cambria Math" w:hAnsi="Times New Roman"/>
                      <w:i/>
                      <w:sz w:val="20"/>
                      <w:szCs w:val="24"/>
                    </w:rPr>
                  </m:ctrlPr>
                </m:sSubPr>
                <m:e>
                  <m:r>
                    <w:rPr>
                      <w:rFonts w:ascii="Cambria Math" w:hAnsi="Cambria Math"/>
                      <w:sz w:val="20"/>
                      <w:szCs w:val="24"/>
                    </w:rPr>
                    <m:t>λ</m:t>
                  </m:r>
                </m:e>
                <m:sub>
                  <m:r>
                    <w:rPr>
                      <w:rFonts w:ascii="Cambria Math" w:hAnsi="Times New Roman"/>
                      <w:sz w:val="20"/>
                      <w:szCs w:val="24"/>
                    </w:rPr>
                    <m:t>1</m:t>
                  </m:r>
                  <m:r>
                    <w:rPr>
                      <w:rFonts w:ascii="Cambria Math" w:hAnsi="Cambria Math"/>
                      <w:sz w:val="20"/>
                      <w:szCs w:val="24"/>
                    </w:rPr>
                    <m:t>i</m:t>
                  </m:r>
                </m:sub>
              </m:sSub>
              <m:sSub>
                <m:sSubPr>
                  <m:ctrlPr>
                    <w:rPr>
                      <w:rFonts w:ascii="Cambria Math" w:hAnsi="Times New Roman"/>
                      <w:i/>
                      <w:sz w:val="20"/>
                      <w:szCs w:val="24"/>
                    </w:rPr>
                  </m:ctrlPr>
                </m:sSubPr>
                <m:e>
                  <m:r>
                    <w:rPr>
                      <w:rFonts w:ascii="Cambria Math" w:hAnsi="Cambria Math"/>
                      <w:sz w:val="20"/>
                      <w:szCs w:val="24"/>
                    </w:rPr>
                    <m:t>Ms</m:t>
                  </m:r>
                </m:e>
                <m:sub>
                  <m:r>
                    <w:rPr>
                      <w:rFonts w:ascii="Cambria Math" w:hAnsi="Cambria Math"/>
                      <w:sz w:val="20"/>
                      <w:szCs w:val="24"/>
                    </w:rPr>
                    <m:t>t-i</m:t>
                  </m:r>
                </m:sub>
              </m:sSub>
            </m:e>
          </m:nary>
          <m:r>
            <w:rPr>
              <w:rFonts w:ascii="Cambria Math" w:hAnsi="Times New Roman"/>
              <w:sz w:val="20"/>
              <w:szCs w:val="24"/>
            </w:rPr>
            <m:t>+</m:t>
          </m:r>
          <m:sSub>
            <m:sSubPr>
              <m:ctrlPr>
                <w:rPr>
                  <w:rFonts w:ascii="Cambria Math" w:hAnsi="Times New Roman"/>
                  <w:i/>
                  <w:sz w:val="20"/>
                  <w:szCs w:val="24"/>
                </w:rPr>
              </m:ctrlPr>
            </m:sSubPr>
            <m:e>
              <m:r>
                <w:rPr>
                  <w:rFonts w:ascii="Cambria Math" w:hAnsi="Cambria Math"/>
                  <w:sz w:val="20"/>
                  <w:szCs w:val="24"/>
                </w:rPr>
                <m:t>ε</m:t>
              </m:r>
            </m:e>
            <m:sub>
              <m:r>
                <w:rPr>
                  <w:rFonts w:ascii="Cambria Math" w:hAnsi="Times New Roman"/>
                  <w:sz w:val="20"/>
                  <w:szCs w:val="24"/>
                </w:rPr>
                <m:t>3</m:t>
              </m:r>
              <m:r>
                <w:rPr>
                  <w:rFonts w:ascii="Cambria Math" w:hAnsi="Cambria Math"/>
                  <w:sz w:val="20"/>
                  <w:szCs w:val="24"/>
                </w:rPr>
                <m:t>t</m:t>
              </m:r>
            </m:sub>
          </m:sSub>
        </m:oMath>
      </m:oMathPara>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7E17CF" w:rsidRPr="007E17CF" w:rsidRDefault="007E17CF" w:rsidP="007E17CF">
      <w:pPr>
        <w:spacing w:after="0" w:line="240" w:lineRule="auto"/>
        <w:rPr>
          <w:rFonts w:ascii="Times New Roman" w:hAnsi="Times New Roman"/>
          <w:sz w:val="20"/>
          <w:szCs w:val="24"/>
          <w:lang w:val="en-US"/>
        </w:rPr>
      </w:pPr>
    </w:p>
    <w:p w:rsidR="007E17CF" w:rsidRPr="007E17CF" w:rsidRDefault="007E17CF" w:rsidP="007E17CF">
      <w:pPr>
        <w:numPr>
          <w:ilvl w:val="0"/>
          <w:numId w:val="8"/>
        </w:numPr>
        <w:spacing w:after="0" w:line="240" w:lineRule="auto"/>
        <w:ind w:left="709"/>
        <w:contextualSpacing/>
        <w:jc w:val="both"/>
        <w:rPr>
          <w:rFonts w:ascii="Palatino Linotype" w:eastAsia="Times New Roman" w:hAnsi="Palatino Linotype"/>
          <w:b/>
          <w:sz w:val="20"/>
          <w:szCs w:val="20"/>
          <w:lang w:val="en-US"/>
        </w:rPr>
      </w:pPr>
      <w:r w:rsidRPr="007E17CF">
        <w:rPr>
          <w:rFonts w:ascii="Palatino Linotype" w:hAnsi="Palatino Linotype"/>
          <w:b/>
          <w:sz w:val="20"/>
          <w:szCs w:val="20"/>
          <w:lang w:val="en-US"/>
        </w:rPr>
        <w:t>The Effectiveness of Fiscal and Monetary Policy on Output</w:t>
      </w:r>
    </w:p>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p>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r w:rsidRPr="007E17CF">
        <w:rPr>
          <w:rFonts w:ascii="Palatino Linotype" w:hAnsi="Palatino Linotype"/>
          <w:sz w:val="20"/>
          <w:szCs w:val="20"/>
          <w:lang w:val="en-US"/>
        </w:rPr>
        <w:t>The first step taken to analyze the effectiveness of fiscal and monetary policy on output is a stationary test. From the stationary test conducted, it turns out that fiscal policy variables, monetary policy and output are not stationary at the level because the probability value of each variable is greater than 0.05 at the level. Therefore, the stationary test is performed at the 1</w:t>
      </w:r>
      <w:r w:rsidRPr="007E17CF">
        <w:rPr>
          <w:rFonts w:ascii="Palatino Linotype" w:hAnsi="Palatino Linotype"/>
          <w:sz w:val="20"/>
          <w:szCs w:val="20"/>
          <w:vertAlign w:val="superscript"/>
          <w:lang w:val="en-US"/>
        </w:rPr>
        <w:t>st</w:t>
      </w:r>
      <w:r w:rsidRPr="007E17CF">
        <w:rPr>
          <w:rFonts w:ascii="Palatino Linotype" w:hAnsi="Palatino Linotype"/>
          <w:sz w:val="20"/>
          <w:szCs w:val="20"/>
          <w:lang w:val="en-US"/>
        </w:rPr>
        <w:t xml:space="preserve"> difference stage. All variables are stationary at 1</w:t>
      </w:r>
      <w:r w:rsidRPr="007E17CF">
        <w:rPr>
          <w:rFonts w:ascii="Palatino Linotype" w:hAnsi="Palatino Linotype"/>
          <w:sz w:val="20"/>
          <w:szCs w:val="20"/>
          <w:vertAlign w:val="superscript"/>
          <w:lang w:val="en-US"/>
        </w:rPr>
        <w:t>st</w:t>
      </w:r>
      <w:r w:rsidRPr="007E17CF">
        <w:rPr>
          <w:rFonts w:ascii="Palatino Linotype" w:hAnsi="Palatino Linotype"/>
          <w:sz w:val="20"/>
          <w:szCs w:val="20"/>
          <w:lang w:val="en-US"/>
        </w:rPr>
        <w:t xml:space="preserve"> difference caused by probability value of each variable is small from 0,05. This condition is shown in Table 1.</w:t>
      </w:r>
    </w:p>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p>
    <w:p w:rsidR="007E17CF" w:rsidRPr="007E17CF" w:rsidRDefault="007E17CF" w:rsidP="007E17CF">
      <w:pPr>
        <w:spacing w:after="0" w:line="240" w:lineRule="auto"/>
        <w:jc w:val="center"/>
        <w:rPr>
          <w:rFonts w:ascii="Palatino Linotype" w:hAnsi="Palatino Linotype"/>
          <w:b/>
          <w:sz w:val="20"/>
          <w:szCs w:val="24"/>
          <w:lang w:val="en-US"/>
        </w:rPr>
      </w:pPr>
      <w:r w:rsidRPr="007E17CF">
        <w:rPr>
          <w:rFonts w:ascii="Palatino Linotype" w:hAnsi="Palatino Linotype"/>
          <w:b/>
          <w:sz w:val="20"/>
          <w:szCs w:val="24"/>
          <w:lang w:val="en-US"/>
        </w:rPr>
        <w:t>Table 1 :</w:t>
      </w:r>
      <w:r w:rsidRPr="007E17CF">
        <w:rPr>
          <w:rFonts w:ascii="Palatino Linotype" w:hAnsi="Palatino Linotype"/>
          <w:b/>
          <w:sz w:val="20"/>
          <w:szCs w:val="24"/>
          <w:lang w:val="en-US"/>
        </w:rPr>
        <w:br/>
        <w:t>Stationary Test Variables Fiscal, Monetary Policy and Output</w:t>
      </w:r>
    </w:p>
    <w:tbl>
      <w:tblPr>
        <w:tblStyle w:val="TableGrid1"/>
        <w:tblW w:w="6394" w:type="dxa"/>
        <w:jc w:val="center"/>
        <w:tblLook w:val="04A0"/>
      </w:tblPr>
      <w:tblGrid>
        <w:gridCol w:w="2605"/>
        <w:gridCol w:w="2268"/>
        <w:gridCol w:w="1521"/>
      </w:tblGrid>
      <w:tr w:rsidR="007E17CF" w:rsidRPr="007E17CF" w:rsidTr="006C4B27">
        <w:trPr>
          <w:trHeight w:val="20"/>
          <w:jc w:val="center"/>
        </w:trPr>
        <w:tc>
          <w:tcPr>
            <w:tcW w:w="2605" w:type="dxa"/>
            <w:vMerge w:val="restart"/>
            <w:vAlign w:val="center"/>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Variables Name</w:t>
            </w:r>
          </w:p>
        </w:tc>
        <w:tc>
          <w:tcPr>
            <w:tcW w:w="2268" w:type="dxa"/>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Augmented Dickey-Fuller Test Statistic</w:t>
            </w:r>
          </w:p>
        </w:tc>
        <w:tc>
          <w:tcPr>
            <w:tcW w:w="1521" w:type="dxa"/>
            <w:vMerge w:val="restart"/>
            <w:vAlign w:val="center"/>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Conclusion</w:t>
            </w:r>
          </w:p>
        </w:tc>
      </w:tr>
      <w:tr w:rsidR="007E17CF" w:rsidRPr="007E17CF" w:rsidTr="006C4B27">
        <w:trPr>
          <w:trHeight w:val="20"/>
          <w:jc w:val="center"/>
        </w:trPr>
        <w:tc>
          <w:tcPr>
            <w:tcW w:w="2605" w:type="dxa"/>
            <w:vMerge/>
          </w:tcPr>
          <w:p w:rsidR="007E17CF" w:rsidRPr="007E17CF" w:rsidRDefault="007E17CF" w:rsidP="007E17CF">
            <w:pPr>
              <w:rPr>
                <w:rFonts w:ascii="Palatino Linotype" w:hAnsi="Palatino Linotype"/>
                <w:sz w:val="20"/>
                <w:szCs w:val="24"/>
                <w:lang w:val="en-US"/>
              </w:rPr>
            </w:pPr>
          </w:p>
        </w:tc>
        <w:tc>
          <w:tcPr>
            <w:tcW w:w="2268" w:type="dxa"/>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Probability</w:t>
            </w:r>
          </w:p>
        </w:tc>
        <w:tc>
          <w:tcPr>
            <w:tcW w:w="1521" w:type="dxa"/>
            <w:vMerge/>
          </w:tcPr>
          <w:p w:rsidR="007E17CF" w:rsidRPr="007E17CF" w:rsidRDefault="007E17CF" w:rsidP="007E17CF">
            <w:pPr>
              <w:rPr>
                <w:rFonts w:ascii="Palatino Linotype" w:hAnsi="Palatino Linotype"/>
                <w:sz w:val="20"/>
                <w:szCs w:val="24"/>
                <w:lang w:val="en-US"/>
              </w:rPr>
            </w:pP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4"/>
                <w:lang w:val="en-US"/>
              </w:rPr>
            </w:pPr>
            <w:r w:rsidRPr="007E17CF">
              <w:rPr>
                <w:rFonts w:ascii="Palatino Linotype" w:hAnsi="Palatino Linotype"/>
                <w:sz w:val="20"/>
                <w:szCs w:val="24"/>
                <w:lang w:val="en-US"/>
              </w:rPr>
              <w:t>Fiscal Policy (G)</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4"/>
                <w:lang w:val="en-US"/>
              </w:rPr>
            </w:pPr>
            <w:r w:rsidRPr="007E17CF">
              <w:rPr>
                <w:rFonts w:ascii="Palatino Linotype" w:hAnsi="Palatino Linotype"/>
                <w:color w:val="000000"/>
                <w:sz w:val="20"/>
                <w:szCs w:val="24"/>
                <w:lang w:val="en-US"/>
              </w:rPr>
              <w:t>0.0006</w:t>
            </w:r>
          </w:p>
        </w:tc>
        <w:tc>
          <w:tcPr>
            <w:tcW w:w="1521" w:type="dxa"/>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Stasioner</w:t>
            </w: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4"/>
                <w:lang w:val="en-US"/>
              </w:rPr>
            </w:pPr>
            <w:r w:rsidRPr="007E17CF">
              <w:rPr>
                <w:rFonts w:ascii="Palatino Linotype" w:hAnsi="Palatino Linotype"/>
                <w:sz w:val="20"/>
                <w:szCs w:val="24"/>
                <w:lang w:val="en-US"/>
              </w:rPr>
              <w:t>Monetary Policy (Ms)</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4"/>
                <w:lang w:val="en-US"/>
              </w:rPr>
            </w:pPr>
            <w:r w:rsidRPr="007E17CF">
              <w:rPr>
                <w:rFonts w:ascii="Palatino Linotype" w:hAnsi="Palatino Linotype"/>
                <w:color w:val="000000"/>
                <w:sz w:val="20"/>
                <w:szCs w:val="24"/>
                <w:lang w:val="en-US"/>
              </w:rPr>
              <w:t>0.0079</w:t>
            </w:r>
          </w:p>
        </w:tc>
        <w:tc>
          <w:tcPr>
            <w:tcW w:w="1521" w:type="dxa"/>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Stasioner</w:t>
            </w: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4"/>
                <w:lang w:val="en-US"/>
              </w:rPr>
            </w:pPr>
            <w:r w:rsidRPr="007E17CF">
              <w:rPr>
                <w:rFonts w:ascii="Palatino Linotype" w:hAnsi="Palatino Linotype"/>
                <w:sz w:val="20"/>
                <w:szCs w:val="24"/>
                <w:lang w:val="en-US"/>
              </w:rPr>
              <w:t>Output (Y)</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4"/>
                <w:lang w:val="en-US"/>
              </w:rPr>
            </w:pPr>
            <w:r w:rsidRPr="007E17CF">
              <w:rPr>
                <w:rFonts w:ascii="Palatino Linotype" w:hAnsi="Palatino Linotype"/>
                <w:color w:val="000000"/>
                <w:sz w:val="20"/>
                <w:szCs w:val="24"/>
                <w:lang w:val="en-US"/>
              </w:rPr>
              <w:t>0.0162</w:t>
            </w:r>
          </w:p>
        </w:tc>
        <w:tc>
          <w:tcPr>
            <w:tcW w:w="1521" w:type="dxa"/>
          </w:tcPr>
          <w:p w:rsidR="007E17CF" w:rsidRPr="007E17CF" w:rsidRDefault="007E17CF" w:rsidP="007E17CF">
            <w:pPr>
              <w:jc w:val="center"/>
              <w:rPr>
                <w:rFonts w:ascii="Palatino Linotype" w:hAnsi="Palatino Linotype"/>
                <w:sz w:val="20"/>
                <w:szCs w:val="24"/>
                <w:lang w:val="en-US"/>
              </w:rPr>
            </w:pPr>
            <w:r w:rsidRPr="007E17CF">
              <w:rPr>
                <w:rFonts w:ascii="Palatino Linotype" w:hAnsi="Palatino Linotype"/>
                <w:sz w:val="20"/>
                <w:szCs w:val="24"/>
                <w:lang w:val="en-US"/>
              </w:rPr>
              <w:t>Stasioner</w:t>
            </w:r>
          </w:p>
        </w:tc>
      </w:tr>
    </w:tbl>
    <w:p w:rsidR="007E17CF" w:rsidRPr="007E17CF" w:rsidRDefault="007E17CF" w:rsidP="007E17CF">
      <w:pPr>
        <w:spacing w:after="0" w:line="240" w:lineRule="auto"/>
        <w:ind w:firstLine="709"/>
        <w:contextualSpacing/>
        <w:jc w:val="both"/>
        <w:rPr>
          <w:rFonts w:ascii="Palatino Linotype" w:eastAsia="Times New Roman" w:hAnsi="Palatino Linotype"/>
          <w:b/>
          <w:sz w:val="20"/>
          <w:szCs w:val="24"/>
          <w:lang w:val="en-US"/>
        </w:rPr>
      </w:pPr>
    </w:p>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r w:rsidRPr="007E17CF">
        <w:rPr>
          <w:rFonts w:ascii="Palatino Linotype" w:hAnsi="Palatino Linotype"/>
          <w:sz w:val="20"/>
          <w:szCs w:val="20"/>
          <w:lang w:val="en-US"/>
        </w:rPr>
        <w:t>The next step is to perform optimal lag test. Optimal lag selection is important because it can affect the acceptance and rejection of the null hypothesis, resulting in estimation bias and can produce inaccurate predictions. The methods used to determine the optimal lag are Likelihood Ratio (LR), Final Prediction Error (FPE), Akaike Information Criteria (AIC), Schwarz Information Criterion (SIC), and Hannan Quinn Information Criterion (HQ) with minimum values. From table 2 it can be seen that the minimum value of all these criteria appears in many lag 1. Therefore, it can be said that the optimum lag on this model uses lag 1.</w:t>
      </w:r>
    </w:p>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p>
    <w:p w:rsidR="007E17CF" w:rsidRPr="007E17CF" w:rsidRDefault="007E17CF" w:rsidP="007E17CF">
      <w:pPr>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Table 2 :</w:t>
      </w:r>
      <w:r w:rsidRPr="007E17CF">
        <w:rPr>
          <w:rFonts w:ascii="Palatino Linotype" w:hAnsi="Palatino Linotype"/>
          <w:b/>
          <w:sz w:val="20"/>
          <w:szCs w:val="20"/>
          <w:lang w:val="en-US"/>
        </w:rPr>
        <w:br/>
        <w:t xml:space="preserve">Optimal Lag Test of The Effectiveness of Fiscal and </w:t>
      </w:r>
    </w:p>
    <w:p w:rsidR="007E17CF" w:rsidRPr="007E17CF" w:rsidRDefault="007E17CF" w:rsidP="007E17CF">
      <w:pPr>
        <w:spacing w:after="0" w:line="240" w:lineRule="auto"/>
        <w:jc w:val="center"/>
        <w:rPr>
          <w:rFonts w:ascii="Palatino Linotype" w:eastAsia="Times New Roman" w:hAnsi="Palatino Linotype"/>
          <w:b/>
          <w:sz w:val="20"/>
          <w:szCs w:val="20"/>
          <w:lang w:val="en-US"/>
        </w:rPr>
      </w:pPr>
      <w:r w:rsidRPr="007E17CF">
        <w:rPr>
          <w:rFonts w:ascii="Palatino Linotype" w:hAnsi="Palatino Linotype"/>
          <w:b/>
          <w:sz w:val="20"/>
          <w:szCs w:val="20"/>
          <w:lang w:val="en-US"/>
        </w:rPr>
        <w:t>Monetary Policy on Output</w:t>
      </w:r>
    </w:p>
    <w:tbl>
      <w:tblPr>
        <w:tblStyle w:val="TableGrid1"/>
        <w:tblW w:w="0" w:type="auto"/>
        <w:jc w:val="center"/>
        <w:tblLook w:val="04A0"/>
      </w:tblPr>
      <w:tblGrid>
        <w:gridCol w:w="675"/>
        <w:gridCol w:w="1126"/>
        <w:gridCol w:w="1261"/>
        <w:gridCol w:w="1263"/>
        <w:gridCol w:w="1261"/>
        <w:gridCol w:w="1261"/>
        <w:gridCol w:w="1261"/>
      </w:tblGrid>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Lag</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LogL</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LR</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FPE</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AIC</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SC</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HQ</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-2129.458</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NA </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4.06e+42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106.6229</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106.7496*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106.6687</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-2115.642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24.86887*</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3.20e+42*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106.3821*</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106.8887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106.5653*</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-2109.925</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9.433047</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3.80e+42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106.5462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107.4329</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106.8668</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3</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-2104.327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8.397215</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4.60e+42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106.7163</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107.9830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107.1743</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4</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-2094.840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12.80716</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4.68e+42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106.6920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108.3386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107.2874</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5</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-2082.982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14.22954</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4.34e+42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106.5491</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108.5757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107.2819</w:t>
            </w:r>
          </w:p>
        </w:tc>
      </w:tr>
    </w:tbl>
    <w:p w:rsidR="007E17CF" w:rsidRPr="007E17CF" w:rsidRDefault="007E17CF" w:rsidP="007E17CF">
      <w:pPr>
        <w:spacing w:after="0" w:line="240" w:lineRule="auto"/>
        <w:ind w:firstLine="709"/>
        <w:contextualSpacing/>
        <w:jc w:val="both"/>
        <w:rPr>
          <w:rFonts w:ascii="Palatino Linotype" w:eastAsia="Times New Roman" w:hAnsi="Palatino Linotype"/>
          <w:sz w:val="20"/>
          <w:szCs w:val="20"/>
          <w:lang w:val="en-US"/>
        </w:rPr>
      </w:pPr>
    </w:p>
    <w:p w:rsidR="007E17CF" w:rsidRPr="007E17CF" w:rsidRDefault="007E17CF" w:rsidP="007E17CF">
      <w:pPr>
        <w:spacing w:after="0" w:line="240" w:lineRule="auto"/>
        <w:ind w:firstLine="709"/>
        <w:contextualSpacing/>
        <w:jc w:val="both"/>
        <w:rPr>
          <w:rFonts w:ascii="Palatino Linotype" w:hAnsi="Palatino Linotype"/>
          <w:sz w:val="24"/>
          <w:szCs w:val="24"/>
          <w:lang w:val="en-US"/>
        </w:rPr>
      </w:pPr>
      <w:r w:rsidRPr="007E17CF">
        <w:rPr>
          <w:rFonts w:ascii="Palatino Linotype" w:hAnsi="Palatino Linotype"/>
          <w:sz w:val="20"/>
          <w:szCs w:val="20"/>
          <w:lang w:val="en-US"/>
        </w:rPr>
        <w:lastRenderedPageBreak/>
        <w:t>The next step is to test the stability of VAR / VECM. This test is done so that the result of IRF and FEVD obtained valid. The stability of the VAR / VECM system is seen from the inverse roots of its polynomial AR characteristics. If all AR-roots values are within the circle, then the VAR / VECM system can be said to be stable or vice versa. Figure 1 shows that all the nominal AR modulus values are within the circle. Thus, it can be said that the VAR system in this model is a stable VAR. A stable VAR will produce valid and correct IRF and FEVD analysis.</w:t>
      </w:r>
    </w:p>
    <w:p w:rsidR="007E17CF" w:rsidRPr="007E17CF" w:rsidRDefault="007E17CF" w:rsidP="007E17CF">
      <w:pPr>
        <w:autoSpaceDE w:val="0"/>
        <w:autoSpaceDN w:val="0"/>
        <w:adjustRightInd w:val="0"/>
        <w:spacing w:after="0" w:line="240" w:lineRule="auto"/>
        <w:jc w:val="center"/>
        <w:rPr>
          <w:rFonts w:ascii="Palatino Linotype" w:hAnsi="Palatino Linotype"/>
          <w:sz w:val="24"/>
          <w:szCs w:val="24"/>
          <w:lang w:val="en-US"/>
        </w:rPr>
      </w:pPr>
      <w:r w:rsidRPr="007E17CF">
        <w:rPr>
          <w:rFonts w:ascii="Palatino Linotype" w:hAnsi="Palatino Linotype"/>
          <w:noProof/>
          <w:sz w:val="24"/>
          <w:szCs w:val="24"/>
          <w:lang w:val="en-US"/>
        </w:rPr>
        <w:drawing>
          <wp:inline distT="0" distB="0" distL="0" distR="0">
            <wp:extent cx="2486025" cy="2015672"/>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91691" cy="2020266"/>
                    </a:xfrm>
                    <a:prstGeom prst="rect">
                      <a:avLst/>
                    </a:prstGeom>
                    <a:noFill/>
                    <a:ln w="9525">
                      <a:noFill/>
                      <a:miter lim="800000"/>
                      <a:headEnd/>
                      <a:tailEnd/>
                    </a:ln>
                  </pic:spPr>
                </pic:pic>
              </a:graphicData>
            </a:graphic>
          </wp:inline>
        </w:drawing>
      </w:r>
    </w:p>
    <w:p w:rsidR="007E17CF" w:rsidRPr="007E17CF" w:rsidRDefault="007E17CF" w:rsidP="007E17CF">
      <w:pPr>
        <w:spacing w:after="0" w:line="240" w:lineRule="auto"/>
        <w:ind w:left="1560" w:hanging="993"/>
        <w:contextualSpacing/>
        <w:jc w:val="both"/>
        <w:rPr>
          <w:rFonts w:ascii="Palatino Linotype" w:hAnsi="Palatino Linotype"/>
          <w:b/>
          <w:sz w:val="20"/>
          <w:szCs w:val="20"/>
          <w:lang w:val="en-US"/>
        </w:rPr>
      </w:pPr>
      <w:r w:rsidRPr="007E17CF">
        <w:rPr>
          <w:rFonts w:ascii="Palatino Linotype" w:hAnsi="Palatino Linotype"/>
          <w:b/>
          <w:sz w:val="20"/>
          <w:szCs w:val="20"/>
          <w:lang w:val="en-US"/>
        </w:rPr>
        <w:t>Figure 1</w:t>
      </w:r>
      <w:r w:rsidR="00C70BDD">
        <w:rPr>
          <w:rFonts w:ascii="Palatino Linotype" w:hAnsi="Palatino Linotype"/>
          <w:b/>
          <w:sz w:val="20"/>
          <w:szCs w:val="20"/>
          <w:lang w:val="en-US"/>
        </w:rPr>
        <w:t xml:space="preserve"> </w:t>
      </w:r>
      <w:r w:rsidRPr="007E17CF">
        <w:rPr>
          <w:rFonts w:ascii="Palatino Linotype" w:hAnsi="Palatino Linotype"/>
          <w:b/>
          <w:sz w:val="20"/>
          <w:szCs w:val="20"/>
          <w:lang w:val="en-US"/>
        </w:rPr>
        <w:t>: Value of AR Roots of The Effectiveness of Fiscal and Monetary Policy on Output</w:t>
      </w:r>
    </w:p>
    <w:p w:rsidR="007E17CF" w:rsidRPr="007E17CF" w:rsidRDefault="007E17CF" w:rsidP="007E17CF">
      <w:pPr>
        <w:spacing w:after="0" w:line="240" w:lineRule="auto"/>
        <w:ind w:firstLine="709"/>
        <w:contextualSpacing/>
        <w:jc w:val="both"/>
        <w:rPr>
          <w:rFonts w:ascii="Palatino Linotype" w:hAnsi="Palatino Linotype"/>
          <w:sz w:val="20"/>
          <w:szCs w:val="20"/>
          <w:lang w:val="en-US"/>
        </w:rPr>
      </w:pPr>
    </w:p>
    <w:p w:rsidR="007E17CF" w:rsidRPr="007E17CF" w:rsidRDefault="007E17CF" w:rsidP="007E17CF">
      <w:pPr>
        <w:spacing w:after="0" w:line="240" w:lineRule="auto"/>
        <w:ind w:firstLine="709"/>
        <w:contextualSpacing/>
        <w:jc w:val="both"/>
        <w:rPr>
          <w:rFonts w:ascii="Palatino Linotype" w:hAnsi="Palatino Linotype"/>
          <w:sz w:val="20"/>
          <w:szCs w:val="20"/>
          <w:lang w:val="en-US"/>
        </w:rPr>
      </w:pPr>
      <w:r w:rsidRPr="007E17CF">
        <w:rPr>
          <w:rFonts w:ascii="Palatino Linotype" w:hAnsi="Palatino Linotype"/>
          <w:sz w:val="20"/>
          <w:szCs w:val="20"/>
          <w:lang w:val="en-US"/>
        </w:rPr>
        <w:t>Next is the cointegration test. This test is used to determine whether there will be a long-term balance, ie there is a similarity of movement and relationship stability among the variables in the study or not. If the model is cointegrated then the model is analyzed by the VECM method, but if the model is not cointegrated then the model is analyzed by VAR. Table 3 shows that the three hypotheses in this equation have a probability value greater than 0.05. Since the probability value for the three hypotheses in this equation is large from 0.05 it can be stated that this equation is not cointegrated. Thus, the effectiveness model of Fiscal Policy and monetary to output can be estimated with VAR model 1</w:t>
      </w:r>
      <w:r w:rsidRPr="007E17CF">
        <w:rPr>
          <w:rFonts w:ascii="Palatino Linotype" w:hAnsi="Palatino Linotype"/>
          <w:sz w:val="20"/>
          <w:szCs w:val="20"/>
          <w:vertAlign w:val="superscript"/>
          <w:lang w:val="en-US"/>
        </w:rPr>
        <w:t>st</w:t>
      </w:r>
      <w:r w:rsidRPr="007E17CF">
        <w:rPr>
          <w:rFonts w:ascii="Palatino Linotype" w:hAnsi="Palatino Linotype"/>
          <w:sz w:val="20"/>
          <w:szCs w:val="20"/>
          <w:lang w:val="en-US"/>
        </w:rPr>
        <w:t xml:space="preserve"> difference.</w:t>
      </w:r>
    </w:p>
    <w:p w:rsidR="007E17CF" w:rsidRPr="007E17CF" w:rsidRDefault="007E17CF" w:rsidP="007E17CF">
      <w:pPr>
        <w:spacing w:after="0" w:line="240" w:lineRule="auto"/>
        <w:ind w:firstLine="709"/>
        <w:contextualSpacing/>
        <w:jc w:val="center"/>
        <w:rPr>
          <w:rFonts w:ascii="Palatino Linotype" w:hAnsi="Palatino Linotype"/>
          <w:b/>
          <w:sz w:val="20"/>
          <w:szCs w:val="20"/>
          <w:lang w:val="en-US"/>
        </w:rPr>
      </w:pPr>
      <w:r w:rsidRPr="007E17CF">
        <w:rPr>
          <w:rFonts w:ascii="Palatino Linotype" w:hAnsi="Palatino Linotype"/>
          <w:sz w:val="20"/>
          <w:szCs w:val="20"/>
          <w:lang w:val="en-US"/>
        </w:rPr>
        <w:br/>
      </w:r>
      <w:r w:rsidRPr="007E17CF">
        <w:rPr>
          <w:rFonts w:ascii="Palatino Linotype" w:hAnsi="Palatino Linotype"/>
          <w:b/>
          <w:sz w:val="20"/>
          <w:szCs w:val="20"/>
          <w:lang w:val="en-US"/>
        </w:rPr>
        <w:t>Table 3:</w:t>
      </w:r>
    </w:p>
    <w:p w:rsidR="007E17CF" w:rsidRPr="007E17CF" w:rsidRDefault="007E17CF" w:rsidP="007E17CF">
      <w:pPr>
        <w:spacing w:after="0" w:line="240" w:lineRule="auto"/>
        <w:contextualSpacing/>
        <w:jc w:val="center"/>
        <w:rPr>
          <w:rFonts w:ascii="Palatino Linotype" w:hAnsi="Palatino Linotype"/>
          <w:b/>
          <w:sz w:val="20"/>
          <w:szCs w:val="20"/>
          <w:lang w:val="en-US"/>
        </w:rPr>
      </w:pPr>
      <w:r w:rsidRPr="007E17CF">
        <w:rPr>
          <w:rFonts w:ascii="Palatino Linotype" w:hAnsi="Palatino Linotype"/>
          <w:b/>
          <w:sz w:val="20"/>
          <w:szCs w:val="20"/>
          <w:lang w:val="en-US"/>
        </w:rPr>
        <w:t xml:space="preserve">Cointegration Test of The Effectiveness of Fiscal and </w:t>
      </w:r>
    </w:p>
    <w:p w:rsidR="007E17CF" w:rsidRPr="007E17CF" w:rsidRDefault="007E17CF" w:rsidP="007E17CF">
      <w:pPr>
        <w:spacing w:after="0" w:line="240" w:lineRule="auto"/>
        <w:contextualSpacing/>
        <w:jc w:val="center"/>
        <w:rPr>
          <w:rFonts w:ascii="Palatino Linotype" w:eastAsia="Times New Roman" w:hAnsi="Palatino Linotype"/>
          <w:b/>
          <w:sz w:val="20"/>
          <w:szCs w:val="20"/>
          <w:lang w:val="en-US"/>
        </w:rPr>
      </w:pPr>
      <w:r w:rsidRPr="007E17CF">
        <w:rPr>
          <w:rFonts w:ascii="Palatino Linotype" w:hAnsi="Palatino Linotype"/>
          <w:b/>
          <w:sz w:val="20"/>
          <w:szCs w:val="20"/>
          <w:lang w:val="en-US"/>
        </w:rPr>
        <w:t>Monetary Policy on Output</w:t>
      </w:r>
    </w:p>
    <w:tbl>
      <w:tblPr>
        <w:tblStyle w:val="TableGrid1"/>
        <w:tblW w:w="0" w:type="auto"/>
        <w:jc w:val="center"/>
        <w:tblLook w:val="04A0"/>
      </w:tblPr>
      <w:tblGrid>
        <w:gridCol w:w="1644"/>
        <w:gridCol w:w="1361"/>
        <w:gridCol w:w="1247"/>
        <w:gridCol w:w="1531"/>
        <w:gridCol w:w="1077"/>
      </w:tblGrid>
      <w:tr w:rsidR="007E17CF" w:rsidRPr="007E17CF" w:rsidTr="006C4B27">
        <w:trPr>
          <w:trHeight w:val="424"/>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Hypothesized</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No. of CE(s)</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Eigenvalue</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Trace</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Statistic</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0.05</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Critical Value</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Prob.**</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None</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0.012535</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0.789917</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29.79707</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1.0000</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At most 1</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0.005161</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0.234907</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15.49471</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1.0000</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At most 2</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0.000164</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0.007228</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3.841466</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0.9318</w:t>
            </w:r>
          </w:p>
        </w:tc>
      </w:tr>
    </w:tbl>
    <w:p w:rsidR="007E17CF" w:rsidRPr="007E17CF" w:rsidRDefault="007E17CF" w:rsidP="007E17CF">
      <w:pPr>
        <w:tabs>
          <w:tab w:val="left" w:pos="2631"/>
        </w:tabs>
        <w:autoSpaceDE w:val="0"/>
        <w:autoSpaceDN w:val="0"/>
        <w:adjustRightInd w:val="0"/>
        <w:spacing w:after="0" w:line="240" w:lineRule="auto"/>
        <w:rPr>
          <w:rFonts w:ascii="Palatino Linotype" w:hAnsi="Palatino Linotype"/>
          <w:sz w:val="20"/>
          <w:szCs w:val="20"/>
          <w:lang w:val="en-US"/>
        </w:rPr>
      </w:pPr>
      <w:r w:rsidRPr="007E17CF">
        <w:rPr>
          <w:rFonts w:ascii="Palatino Linotype" w:hAnsi="Palatino Linotype"/>
          <w:sz w:val="20"/>
          <w:szCs w:val="20"/>
          <w:lang w:val="en-US"/>
        </w:rPr>
        <w:tab/>
      </w:r>
    </w:p>
    <w:p w:rsidR="007E17CF" w:rsidRPr="007E17CF" w:rsidRDefault="007E17CF" w:rsidP="007E17CF">
      <w:pPr>
        <w:autoSpaceDE w:val="0"/>
        <w:autoSpaceDN w:val="0"/>
        <w:adjustRightInd w:val="0"/>
        <w:spacing w:after="0" w:line="240" w:lineRule="auto"/>
        <w:ind w:firstLine="720"/>
        <w:jc w:val="both"/>
        <w:rPr>
          <w:rFonts w:ascii="Palatino Linotype" w:hAnsi="Palatino Linotype"/>
          <w:sz w:val="20"/>
          <w:szCs w:val="20"/>
          <w:lang w:val="en-US"/>
        </w:rPr>
      </w:pPr>
      <w:r w:rsidRPr="007E17CF">
        <w:rPr>
          <w:rFonts w:ascii="Palatino Linotype" w:hAnsi="Palatino Linotype"/>
          <w:sz w:val="20"/>
          <w:szCs w:val="20"/>
          <w:lang w:val="en-US"/>
        </w:rPr>
        <w:t>Next do an Impulse Response Function (IRF) analysis used to see the effect of shock from a variable on other variables. A shock in the endogenous variable will affect the variable itself and will spread to other endogenous variables. IRF gives direction the relationship of magnitude influence between endogenous variables. Estimates made for IRF are focused on the response of a variable on the change of one standard deviation from the variable itself or from other variables contained in the VAR model.</w:t>
      </w:r>
    </w:p>
    <w:p w:rsidR="007E17CF" w:rsidRPr="007E17CF" w:rsidRDefault="007E17CF" w:rsidP="007E17CF">
      <w:pPr>
        <w:autoSpaceDE w:val="0"/>
        <w:autoSpaceDN w:val="0"/>
        <w:adjustRightInd w:val="0"/>
        <w:spacing w:after="0" w:line="240" w:lineRule="auto"/>
        <w:ind w:firstLine="720"/>
        <w:jc w:val="both"/>
        <w:rPr>
          <w:rFonts w:ascii="Palatino Linotype" w:eastAsia="Times New Roman" w:hAnsi="Palatino Linotype"/>
          <w:bCs/>
          <w:sz w:val="20"/>
          <w:szCs w:val="20"/>
          <w:lang w:val="en-US"/>
        </w:rPr>
      </w:pPr>
      <w:r w:rsidRPr="007E17CF">
        <w:rPr>
          <w:rFonts w:ascii="Palatino Linotype" w:hAnsi="Palatino Linotype"/>
          <w:sz w:val="20"/>
          <w:szCs w:val="20"/>
          <w:lang w:val="en-US"/>
        </w:rPr>
        <w:t>Figure 2 (A) shows the response to the change in output due to a shock Fiscal Policy. The presence of shock from the Fiscal Policy towards the change of output response initially tends to decrease the change in output until the 7</w:t>
      </w:r>
      <w:r w:rsidRPr="007E17CF">
        <w:rPr>
          <w:rFonts w:ascii="Palatino Linotype" w:hAnsi="Palatino Linotype"/>
          <w:sz w:val="20"/>
          <w:szCs w:val="20"/>
          <w:vertAlign w:val="superscript"/>
          <w:lang w:val="en-US"/>
        </w:rPr>
        <w:t>th</w:t>
      </w:r>
      <w:r w:rsidRPr="007E17CF">
        <w:rPr>
          <w:rFonts w:ascii="Palatino Linotype" w:hAnsi="Palatino Linotype"/>
          <w:sz w:val="20"/>
          <w:szCs w:val="20"/>
          <w:lang w:val="en-US"/>
        </w:rPr>
        <w:t xml:space="preserve"> period but after that period, the output response moves closer to the equilibrium line. Therefore, the shock of Fiscal Policy toward output will disappear and not permanently in the long run. A similar condition is shown by the output response due to Monetary Policy shock in Figure 2 (B). Shock Monetary Policy causes the output response to decrease </w:t>
      </w:r>
      <w:r w:rsidRPr="007E17CF">
        <w:rPr>
          <w:rFonts w:ascii="Palatino Linotype" w:hAnsi="Palatino Linotype"/>
          <w:sz w:val="20"/>
          <w:szCs w:val="20"/>
          <w:lang w:val="en-US"/>
        </w:rPr>
        <w:lastRenderedPageBreak/>
        <w:t>until the 6</w:t>
      </w:r>
      <w:r w:rsidRPr="007E17CF">
        <w:rPr>
          <w:rFonts w:ascii="Palatino Linotype" w:hAnsi="Palatino Linotype"/>
          <w:sz w:val="20"/>
          <w:szCs w:val="20"/>
          <w:vertAlign w:val="superscript"/>
          <w:lang w:val="en-US"/>
        </w:rPr>
        <w:t>th</w:t>
      </w:r>
      <w:r w:rsidRPr="007E17CF">
        <w:rPr>
          <w:rFonts w:ascii="Palatino Linotype" w:hAnsi="Palatino Linotype"/>
          <w:sz w:val="20"/>
          <w:szCs w:val="20"/>
          <w:lang w:val="en-US"/>
        </w:rPr>
        <w:t xml:space="preserve"> period. Then after that, the output response approaches the equilibrium line. This means Monetary Policy shock also does not permanently affect the output.</w:t>
      </w:r>
    </w:p>
    <w:p w:rsidR="007E17CF" w:rsidRPr="007E17CF" w:rsidRDefault="007E17CF" w:rsidP="007E17CF">
      <w:pPr>
        <w:autoSpaceDE w:val="0"/>
        <w:autoSpaceDN w:val="0"/>
        <w:adjustRightInd w:val="0"/>
        <w:spacing w:after="0" w:line="240" w:lineRule="auto"/>
        <w:ind w:firstLine="720"/>
        <w:jc w:val="both"/>
        <w:rPr>
          <w:rFonts w:ascii="Palatino Linotype" w:eastAsia="Times New Roman" w:hAnsi="Palatino Linotype"/>
          <w:bCs/>
          <w:sz w:val="24"/>
          <w:szCs w:val="24"/>
          <w:lang w:val="en-US"/>
        </w:rPr>
      </w:pPr>
    </w:p>
    <w:p w:rsidR="007E17CF" w:rsidRPr="007E17CF" w:rsidRDefault="007E17CF" w:rsidP="007E17CF">
      <w:pPr>
        <w:autoSpaceDE w:val="0"/>
        <w:autoSpaceDN w:val="0"/>
        <w:adjustRightInd w:val="0"/>
        <w:spacing w:after="0" w:line="240" w:lineRule="auto"/>
        <w:jc w:val="center"/>
        <w:rPr>
          <w:rFonts w:ascii="Palatino Linotype" w:eastAsia="Times New Roman" w:hAnsi="Palatino Linotype"/>
          <w:bCs/>
          <w:sz w:val="24"/>
          <w:szCs w:val="24"/>
          <w:lang w:val="en-US"/>
        </w:rPr>
      </w:pPr>
      <w:r w:rsidRPr="007E17CF">
        <w:rPr>
          <w:rFonts w:ascii="Palatino Linotype" w:eastAsia="Times New Roman" w:hAnsi="Palatino Linotype"/>
          <w:bCs/>
          <w:noProof/>
          <w:sz w:val="24"/>
          <w:szCs w:val="24"/>
          <w:lang w:val="en-US"/>
        </w:rPr>
        <w:drawing>
          <wp:inline distT="0" distB="0" distL="0" distR="0">
            <wp:extent cx="5040630" cy="2202555"/>
            <wp:effectExtent l="19050" t="0" r="762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040630" cy="2202555"/>
                    </a:xfrm>
                    <a:prstGeom prst="rect">
                      <a:avLst/>
                    </a:prstGeom>
                    <a:noFill/>
                    <a:ln w="9525">
                      <a:noFill/>
                      <a:miter lim="800000"/>
                      <a:headEnd/>
                      <a:tailEnd/>
                    </a:ln>
                  </pic:spPr>
                </pic:pic>
              </a:graphicData>
            </a:graphic>
          </wp:inline>
        </w:drawing>
      </w: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Figure 2</w:t>
      </w:r>
      <w:r w:rsidR="000131E4">
        <w:rPr>
          <w:rFonts w:ascii="Palatino Linotype" w:hAnsi="Palatino Linotype"/>
          <w:b/>
          <w:sz w:val="20"/>
          <w:szCs w:val="20"/>
          <w:lang w:val="en-US"/>
        </w:rPr>
        <w:t xml:space="preserve"> </w:t>
      </w:r>
      <w:r w:rsidRPr="007E17CF">
        <w:rPr>
          <w:rFonts w:ascii="Palatino Linotype" w:hAnsi="Palatino Linotype"/>
          <w:b/>
          <w:sz w:val="20"/>
          <w:szCs w:val="20"/>
          <w:lang w:val="en-US"/>
        </w:rPr>
        <w:t>: Output Response Due to Shock Fiscal Policy (A) and Monetary (B)</w:t>
      </w:r>
    </w:p>
    <w:p w:rsidR="007E17CF" w:rsidRPr="007E17CF" w:rsidRDefault="007E17CF" w:rsidP="007E17CF">
      <w:pPr>
        <w:autoSpaceDE w:val="0"/>
        <w:autoSpaceDN w:val="0"/>
        <w:adjustRightInd w:val="0"/>
        <w:spacing w:after="0" w:line="240" w:lineRule="auto"/>
        <w:ind w:firstLine="709"/>
        <w:jc w:val="both"/>
        <w:rPr>
          <w:rFonts w:ascii="Palatino Linotype" w:hAnsi="Palatino Linotype"/>
          <w:sz w:val="20"/>
          <w:szCs w:val="20"/>
          <w:lang w:val="en-US"/>
        </w:rPr>
      </w:pPr>
    </w:p>
    <w:p w:rsidR="007E17CF" w:rsidRPr="007E17CF" w:rsidRDefault="007E17CF" w:rsidP="007E17CF">
      <w:pPr>
        <w:autoSpaceDE w:val="0"/>
        <w:autoSpaceDN w:val="0"/>
        <w:adjustRightInd w:val="0"/>
        <w:spacing w:after="0" w:line="240" w:lineRule="auto"/>
        <w:ind w:firstLine="709"/>
        <w:jc w:val="both"/>
        <w:rPr>
          <w:rFonts w:ascii="Palatino Linotype" w:hAnsi="Palatino Linotype"/>
          <w:sz w:val="20"/>
          <w:szCs w:val="20"/>
          <w:lang w:val="en-US"/>
        </w:rPr>
      </w:pPr>
      <w:r w:rsidRPr="007E17CF">
        <w:rPr>
          <w:rFonts w:ascii="Palatino Linotype" w:hAnsi="Palatino Linotype"/>
          <w:sz w:val="20"/>
          <w:szCs w:val="20"/>
          <w:lang w:val="en-US"/>
        </w:rPr>
        <w:t>To see and analyze the effectiveness of Fiscal Policy and monetary to the output seen from the value of Forecast Error Variance Decomposition (FEVD). Table 4 shows that in general the variability of output both in the short term and long term can be explained by the shock of the Fiscal Policy of 39.19% and in the long term by 41.16%. While the variability of output in the short term is explained by Monetary Policy shock equal to 24,68% and in long term equal to 23,31%. This condition concludes that the most effective policy towards the change of output in Indonesia is Fiscal Policy. This can be seen from the contribution of Fiscal Policy to the greatest output variability compared to the Fiscal Policy contribution.</w:t>
      </w: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Table 4:</w:t>
      </w: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 xml:space="preserve">FEVD Test Model of The Effectiveness of Fiscal and </w:t>
      </w: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Monetary Policy on Output</w:t>
      </w:r>
    </w:p>
    <w:tbl>
      <w:tblPr>
        <w:tblStyle w:val="TableGrid1"/>
        <w:tblW w:w="0" w:type="auto"/>
        <w:jc w:val="center"/>
        <w:tblLook w:val="04A0"/>
      </w:tblPr>
      <w:tblGrid>
        <w:gridCol w:w="1563"/>
        <w:gridCol w:w="1135"/>
        <w:gridCol w:w="1096"/>
        <w:gridCol w:w="1096"/>
        <w:gridCol w:w="1096"/>
      </w:tblGrid>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Variance Decomposition of D(Y):</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Period</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S.E.</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D(G)</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D(MS)</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D(Y)</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1.46E+08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32.13087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26.07004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41.79910</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1.68E+08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39.19004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24.68350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36.12645</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1.75E+08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40.47555</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23.87715</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35.64729</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1.77E+08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40.93969</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23.52960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35.53071</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5</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41.09008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23.39387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35.51605</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6</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41.14001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23.34430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35.51568</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41.15621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23.32700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35.51679</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41.16141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23.32114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35.51746</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9</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41.16305</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23.31920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35.51775</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1.78E+08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41.16357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23.31857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35.51786</w:t>
            </w:r>
          </w:p>
        </w:tc>
      </w:tr>
    </w:tbl>
    <w:p w:rsidR="007E17CF" w:rsidRDefault="007E17CF" w:rsidP="007E17CF">
      <w:pPr>
        <w:autoSpaceDE w:val="0"/>
        <w:autoSpaceDN w:val="0"/>
        <w:adjustRightInd w:val="0"/>
        <w:spacing w:after="0" w:line="240" w:lineRule="auto"/>
        <w:jc w:val="both"/>
        <w:rPr>
          <w:rFonts w:ascii="Palatino Linotype" w:hAnsi="Palatino Linotype"/>
          <w:sz w:val="20"/>
          <w:szCs w:val="20"/>
          <w:lang w:val="en-US"/>
        </w:rPr>
      </w:pPr>
    </w:p>
    <w:p w:rsidR="0092400D" w:rsidRPr="0092400D" w:rsidRDefault="0092400D" w:rsidP="0092400D">
      <w:pPr>
        <w:autoSpaceDE w:val="0"/>
        <w:autoSpaceDN w:val="0"/>
        <w:adjustRightInd w:val="0"/>
        <w:spacing w:after="0" w:line="240" w:lineRule="auto"/>
        <w:ind w:firstLine="567"/>
        <w:jc w:val="both"/>
        <w:rPr>
          <w:rFonts w:ascii="Palatino Linotype" w:hAnsi="Palatino Linotype"/>
          <w:sz w:val="20"/>
          <w:szCs w:val="20"/>
          <w:lang w:val="en-US"/>
        </w:rPr>
      </w:pPr>
      <w:r w:rsidRPr="0092400D">
        <w:rPr>
          <w:rFonts w:ascii="Palatino Linotype" w:hAnsi="Palatino Linotype"/>
          <w:sz w:val="20"/>
          <w:szCs w:val="20"/>
          <w:lang w:val="en-US"/>
        </w:rPr>
        <w:t xml:space="preserve">The effectiveness of fiscal policy rather than monetary policy on output in Indonesia due to the impact of fiscal policy is directly to the real sector. When the government increases its spending such as capital expenditure and infrastructure, this condition will directly affect the increase of goods and services production. Especially in times of crisis and recession increased government spending is a policy that is eagerly awaited by market participants in order to provide excitement in the </w:t>
      </w:r>
      <w:r w:rsidRPr="0092400D">
        <w:rPr>
          <w:rFonts w:ascii="Palatino Linotype" w:hAnsi="Palatino Linotype"/>
          <w:sz w:val="20"/>
          <w:szCs w:val="20"/>
          <w:lang w:val="en-US"/>
        </w:rPr>
        <w:lastRenderedPageBreak/>
        <w:t>production. This condition is also reinforced by aggregate demand theory which shows that government spending along with consumption, investment and net exports affect the ups and downs of output. The theory also asserts that there is a positive relationship between government spending on output. Increased government spending has implications for increased output. Increased output will encourage increased output.</w:t>
      </w:r>
    </w:p>
    <w:p w:rsidR="0092400D" w:rsidRPr="0092400D" w:rsidRDefault="0092400D" w:rsidP="0092400D">
      <w:pPr>
        <w:autoSpaceDE w:val="0"/>
        <w:autoSpaceDN w:val="0"/>
        <w:adjustRightInd w:val="0"/>
        <w:spacing w:after="0" w:line="240" w:lineRule="auto"/>
        <w:ind w:firstLine="567"/>
        <w:jc w:val="both"/>
        <w:rPr>
          <w:rFonts w:ascii="Palatino Linotype" w:hAnsi="Palatino Linotype"/>
          <w:sz w:val="20"/>
          <w:szCs w:val="20"/>
          <w:lang w:val="en-US"/>
        </w:rPr>
      </w:pPr>
      <w:r w:rsidRPr="0092400D">
        <w:rPr>
          <w:rFonts w:ascii="Palatino Linotype" w:hAnsi="Palatino Linotype"/>
          <w:sz w:val="20"/>
          <w:szCs w:val="20"/>
          <w:lang w:val="en-US"/>
        </w:rPr>
        <w:t> Monetary policy is seen as less effective in this study rather than interpreting that monetary policy so far in Indonesia has no effect on output, but the point is the role of monetary policy during the study period is less than the fiscal policy. This condition is due to the monetary policy in Indonesia in influencing the output is not directly but through some path or stage known as the transmission mechanism. This transmission mechanism is a complex process because of many factors that influence it. These factors include 1) changes in the behavior of central banks, banks and economic actors in their various economic and financial activities, (2) the length of lags since monetary policy is adopted, and 3) changes in transmission lines monetary itself in accordance with economic and financial developments.</w:t>
      </w:r>
    </w:p>
    <w:p w:rsidR="0092400D" w:rsidRPr="0092400D" w:rsidRDefault="0092400D" w:rsidP="0092400D">
      <w:pPr>
        <w:autoSpaceDE w:val="0"/>
        <w:autoSpaceDN w:val="0"/>
        <w:adjustRightInd w:val="0"/>
        <w:spacing w:after="0" w:line="240" w:lineRule="auto"/>
        <w:ind w:firstLine="567"/>
        <w:jc w:val="both"/>
        <w:rPr>
          <w:rFonts w:ascii="Palatino Linotype" w:hAnsi="Palatino Linotype"/>
          <w:sz w:val="20"/>
          <w:szCs w:val="20"/>
          <w:lang w:val="en-US"/>
        </w:rPr>
      </w:pPr>
      <w:r w:rsidRPr="0092400D">
        <w:rPr>
          <w:rFonts w:ascii="Palatino Linotype" w:hAnsi="Palatino Linotype"/>
          <w:sz w:val="20"/>
          <w:szCs w:val="20"/>
          <w:lang w:val="en-US"/>
        </w:rPr>
        <w:t>Any change in central bank policy will be followed or anticipated by changes in banking behavior, financial sector and economic actors in various economic and financial activities. On the other hand, the monetary policy taken during this period will not have any effect on the output of this period but also the deadline. Then, the more paths the monetary policy will go through will further weaken the impact of the policy in influencing output.</w:t>
      </w:r>
    </w:p>
    <w:p w:rsidR="0092400D" w:rsidRDefault="0092400D" w:rsidP="0092400D">
      <w:pPr>
        <w:autoSpaceDE w:val="0"/>
        <w:autoSpaceDN w:val="0"/>
        <w:adjustRightInd w:val="0"/>
        <w:spacing w:after="0" w:line="240" w:lineRule="auto"/>
        <w:ind w:firstLine="567"/>
        <w:jc w:val="both"/>
        <w:rPr>
          <w:rFonts w:ascii="Palatino Linotype" w:hAnsi="Palatino Linotype"/>
          <w:sz w:val="20"/>
          <w:szCs w:val="20"/>
          <w:lang w:val="en-US"/>
        </w:rPr>
      </w:pPr>
      <w:r w:rsidRPr="0092400D">
        <w:rPr>
          <w:rFonts w:ascii="Palatino Linotype" w:hAnsi="Palatino Linotype"/>
          <w:sz w:val="20"/>
          <w:szCs w:val="20"/>
          <w:lang w:val="en-US"/>
        </w:rPr>
        <w:t>The results of this study are in accordance with the studies that have been done by Chowdhury (1986), Ansari (1996), Khosravi &amp; Karimi (2010), Abata, Kehinde, &amp; Bolarinwa (2012), Fetai (2013), Cyrus (2014), Okorie , Sylvester, &amp; Simon-peter (2017) who concluded that fiscal policy is more effective in encouraging economic activity. The addition of fiscal policy will be able to drive aggregate demand increase so that the impact on output increase.</w:t>
      </w:r>
    </w:p>
    <w:p w:rsidR="0092400D" w:rsidRDefault="0092400D" w:rsidP="007E17CF">
      <w:pPr>
        <w:autoSpaceDE w:val="0"/>
        <w:autoSpaceDN w:val="0"/>
        <w:adjustRightInd w:val="0"/>
        <w:spacing w:after="0" w:line="240" w:lineRule="auto"/>
        <w:jc w:val="both"/>
        <w:rPr>
          <w:rFonts w:ascii="Palatino Linotype" w:hAnsi="Palatino Linotype"/>
          <w:sz w:val="20"/>
          <w:szCs w:val="20"/>
          <w:lang w:val="en-US"/>
        </w:rPr>
      </w:pPr>
    </w:p>
    <w:p w:rsidR="007E17CF" w:rsidRPr="007E17CF" w:rsidRDefault="007E17CF" w:rsidP="007E17CF">
      <w:pPr>
        <w:autoSpaceDE w:val="0"/>
        <w:autoSpaceDN w:val="0"/>
        <w:adjustRightInd w:val="0"/>
        <w:spacing w:after="0" w:line="240" w:lineRule="auto"/>
        <w:ind w:firstLine="720"/>
        <w:jc w:val="both"/>
        <w:rPr>
          <w:rFonts w:ascii="Palatino Linotype" w:eastAsia="Times New Roman" w:hAnsi="Palatino Linotype"/>
          <w:bCs/>
          <w:sz w:val="20"/>
          <w:szCs w:val="20"/>
          <w:lang w:val="en-US"/>
        </w:rPr>
      </w:pPr>
      <w:r w:rsidRPr="007E17CF">
        <w:rPr>
          <w:rFonts w:ascii="Palatino Linotype" w:hAnsi="Palatino Linotype"/>
          <w:b/>
          <w:sz w:val="20"/>
          <w:szCs w:val="20"/>
          <w:lang w:val="en-US"/>
        </w:rPr>
        <w:t>2. The Effectiveness of Fiscal and Monetary Policy on Prices</w:t>
      </w:r>
    </w:p>
    <w:p w:rsidR="007E17CF" w:rsidRPr="007E17CF" w:rsidRDefault="007E17CF" w:rsidP="007E17CF">
      <w:pPr>
        <w:spacing w:after="0" w:line="240" w:lineRule="auto"/>
        <w:jc w:val="both"/>
        <w:rPr>
          <w:rFonts w:ascii="Palatino Linotype" w:hAnsi="Palatino Linotype"/>
          <w:sz w:val="20"/>
          <w:szCs w:val="20"/>
          <w:lang w:val="en-US"/>
        </w:rPr>
      </w:pPr>
    </w:p>
    <w:p w:rsidR="007E17CF" w:rsidRPr="007E17CF" w:rsidRDefault="007E17CF" w:rsidP="007E17CF">
      <w:pPr>
        <w:spacing w:after="0" w:line="240" w:lineRule="auto"/>
        <w:ind w:firstLine="720"/>
        <w:jc w:val="both"/>
        <w:rPr>
          <w:rFonts w:ascii="Palatino Linotype" w:hAnsi="Palatino Linotype"/>
          <w:sz w:val="20"/>
          <w:szCs w:val="20"/>
          <w:lang w:val="en-US"/>
        </w:rPr>
      </w:pPr>
      <w:r w:rsidRPr="007E17CF">
        <w:rPr>
          <w:rFonts w:ascii="Palatino Linotype" w:hAnsi="Palatino Linotype"/>
          <w:sz w:val="20"/>
          <w:szCs w:val="20"/>
          <w:lang w:val="en-US"/>
        </w:rPr>
        <w:t>Similar to the above tests, the first step to analyze the effectiveness of Fiscal Policy and monetary price is the stationary test. From stationary test conducted, it turns out that Fiscal Policy, Monetary Policy and Prices variable is not stationary at the level because the probability value of each variable is greater than 0.05 at the level. Therefore, the stationary test is performed at the 1st difference stage. In stage 1st difference, all variables are stationary this is indicated by the probability value of each variable is small from 0.05. This condition is shown in table 5.</w:t>
      </w:r>
    </w:p>
    <w:p w:rsidR="007E17CF" w:rsidRPr="007E17CF" w:rsidRDefault="007E17CF" w:rsidP="007E17CF">
      <w:pPr>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Table 5 :</w:t>
      </w:r>
    </w:p>
    <w:p w:rsidR="007E17CF" w:rsidRPr="007E17CF" w:rsidRDefault="007E17CF" w:rsidP="007E17CF">
      <w:pPr>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 xml:space="preserve">Stationary Test Fiscal Policy, Monetary and Prices </w:t>
      </w:r>
    </w:p>
    <w:tbl>
      <w:tblPr>
        <w:tblStyle w:val="TableGrid1"/>
        <w:tblW w:w="6394" w:type="dxa"/>
        <w:jc w:val="center"/>
        <w:tblLook w:val="04A0"/>
      </w:tblPr>
      <w:tblGrid>
        <w:gridCol w:w="2605"/>
        <w:gridCol w:w="2268"/>
        <w:gridCol w:w="1521"/>
      </w:tblGrid>
      <w:tr w:rsidR="007E17CF" w:rsidRPr="007E17CF" w:rsidTr="006C4B27">
        <w:trPr>
          <w:trHeight w:val="20"/>
          <w:jc w:val="center"/>
        </w:trPr>
        <w:tc>
          <w:tcPr>
            <w:tcW w:w="2605" w:type="dxa"/>
            <w:vMerge w:val="restart"/>
            <w:vAlign w:val="center"/>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Nama Variabel</w:t>
            </w:r>
          </w:p>
        </w:tc>
        <w:tc>
          <w:tcPr>
            <w:tcW w:w="2268" w:type="dxa"/>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Augmented Dickey-Fuller test statistic</w:t>
            </w:r>
          </w:p>
        </w:tc>
        <w:tc>
          <w:tcPr>
            <w:tcW w:w="1521" w:type="dxa"/>
            <w:vMerge w:val="restart"/>
            <w:vAlign w:val="center"/>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Conclusion</w:t>
            </w:r>
          </w:p>
        </w:tc>
      </w:tr>
      <w:tr w:rsidR="007E17CF" w:rsidRPr="007E17CF" w:rsidTr="006C4B27">
        <w:trPr>
          <w:trHeight w:val="20"/>
          <w:jc w:val="center"/>
        </w:trPr>
        <w:tc>
          <w:tcPr>
            <w:tcW w:w="2605" w:type="dxa"/>
            <w:vMerge/>
          </w:tcPr>
          <w:p w:rsidR="007E17CF" w:rsidRPr="007E17CF" w:rsidRDefault="007E17CF" w:rsidP="007E17CF">
            <w:pPr>
              <w:rPr>
                <w:rFonts w:ascii="Palatino Linotype" w:hAnsi="Palatino Linotype"/>
                <w:sz w:val="20"/>
                <w:szCs w:val="20"/>
                <w:lang w:val="en-US"/>
              </w:rPr>
            </w:pPr>
          </w:p>
        </w:tc>
        <w:tc>
          <w:tcPr>
            <w:tcW w:w="2268" w:type="dxa"/>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Probability</w:t>
            </w:r>
          </w:p>
        </w:tc>
        <w:tc>
          <w:tcPr>
            <w:tcW w:w="1521" w:type="dxa"/>
            <w:vMerge/>
          </w:tcPr>
          <w:p w:rsidR="007E17CF" w:rsidRPr="007E17CF" w:rsidRDefault="007E17CF" w:rsidP="007E17CF">
            <w:pPr>
              <w:rPr>
                <w:rFonts w:ascii="Palatino Linotype" w:hAnsi="Palatino Linotype"/>
                <w:sz w:val="20"/>
                <w:szCs w:val="20"/>
                <w:lang w:val="en-US"/>
              </w:rPr>
            </w:pP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0"/>
                <w:lang w:val="en-US"/>
              </w:rPr>
            </w:pPr>
            <w:r w:rsidRPr="007E17CF">
              <w:rPr>
                <w:rFonts w:ascii="Palatino Linotype" w:hAnsi="Palatino Linotype"/>
                <w:sz w:val="20"/>
                <w:szCs w:val="20"/>
                <w:lang w:val="en-US"/>
              </w:rPr>
              <w:t>Fiscal Policy (G)</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0.0006</w:t>
            </w:r>
          </w:p>
        </w:tc>
        <w:tc>
          <w:tcPr>
            <w:tcW w:w="1521" w:type="dxa"/>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Stasioner</w:t>
            </w: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0"/>
                <w:lang w:val="en-US"/>
              </w:rPr>
            </w:pPr>
            <w:r w:rsidRPr="007E17CF">
              <w:rPr>
                <w:rFonts w:ascii="Palatino Linotype" w:hAnsi="Palatino Linotype"/>
                <w:sz w:val="20"/>
                <w:szCs w:val="20"/>
                <w:lang w:val="en-US"/>
              </w:rPr>
              <w:t>Monetary Policy (Ms)</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0.0079</w:t>
            </w:r>
          </w:p>
        </w:tc>
        <w:tc>
          <w:tcPr>
            <w:tcW w:w="1521" w:type="dxa"/>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Stasioner</w:t>
            </w:r>
          </w:p>
        </w:tc>
      </w:tr>
      <w:tr w:rsidR="007E17CF" w:rsidRPr="007E17CF" w:rsidTr="006C4B27">
        <w:trPr>
          <w:trHeight w:val="20"/>
          <w:jc w:val="center"/>
        </w:trPr>
        <w:tc>
          <w:tcPr>
            <w:tcW w:w="2605" w:type="dxa"/>
          </w:tcPr>
          <w:p w:rsidR="007E17CF" w:rsidRPr="007E17CF" w:rsidRDefault="007E17CF" w:rsidP="007E17CF">
            <w:pPr>
              <w:rPr>
                <w:rFonts w:ascii="Palatino Linotype" w:hAnsi="Palatino Linotype"/>
                <w:sz w:val="20"/>
                <w:szCs w:val="20"/>
                <w:lang w:val="en-US"/>
              </w:rPr>
            </w:pPr>
            <w:r w:rsidRPr="007E17CF">
              <w:rPr>
                <w:rFonts w:ascii="Palatino Linotype" w:hAnsi="Palatino Linotype"/>
                <w:sz w:val="20"/>
                <w:szCs w:val="20"/>
                <w:lang w:val="en-US"/>
              </w:rPr>
              <w:t>Prices (P)</w:t>
            </w:r>
          </w:p>
        </w:tc>
        <w:tc>
          <w:tcPr>
            <w:tcW w:w="2268" w:type="dxa"/>
            <w:vAlign w:val="center"/>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0.0005</w:t>
            </w:r>
          </w:p>
        </w:tc>
        <w:tc>
          <w:tcPr>
            <w:tcW w:w="1521" w:type="dxa"/>
          </w:tcPr>
          <w:p w:rsidR="007E17CF" w:rsidRPr="007E17CF" w:rsidRDefault="007E17CF" w:rsidP="007E17CF">
            <w:pPr>
              <w:jc w:val="center"/>
              <w:rPr>
                <w:rFonts w:ascii="Palatino Linotype" w:hAnsi="Palatino Linotype"/>
                <w:sz w:val="20"/>
                <w:szCs w:val="20"/>
                <w:lang w:val="en-US"/>
              </w:rPr>
            </w:pPr>
            <w:r w:rsidRPr="007E17CF">
              <w:rPr>
                <w:rFonts w:ascii="Palatino Linotype" w:hAnsi="Palatino Linotype"/>
                <w:sz w:val="20"/>
                <w:szCs w:val="20"/>
                <w:lang w:val="en-US"/>
              </w:rPr>
              <w:t>Stasioner</w:t>
            </w:r>
          </w:p>
        </w:tc>
      </w:tr>
    </w:tbl>
    <w:p w:rsidR="007E17CF" w:rsidRPr="007E17CF" w:rsidRDefault="007E17CF" w:rsidP="007E17CF">
      <w:pPr>
        <w:spacing w:after="0" w:line="240" w:lineRule="auto"/>
        <w:ind w:firstLine="709"/>
        <w:contextualSpacing/>
        <w:jc w:val="both"/>
        <w:rPr>
          <w:rFonts w:ascii="Palatino Linotype" w:eastAsia="Times New Roman" w:hAnsi="Palatino Linotype"/>
          <w:b/>
          <w:sz w:val="20"/>
          <w:szCs w:val="20"/>
          <w:lang w:val="en-US"/>
        </w:rPr>
      </w:pPr>
    </w:p>
    <w:p w:rsidR="007E17CF" w:rsidRDefault="007E17CF" w:rsidP="007E17CF">
      <w:pPr>
        <w:spacing w:after="0" w:line="240" w:lineRule="auto"/>
        <w:ind w:firstLine="720"/>
        <w:jc w:val="both"/>
        <w:rPr>
          <w:rFonts w:ascii="Palatino Linotype" w:hAnsi="Palatino Linotype"/>
          <w:sz w:val="20"/>
          <w:szCs w:val="20"/>
          <w:lang w:val="en-US"/>
        </w:rPr>
      </w:pPr>
      <w:r w:rsidRPr="007E17CF">
        <w:rPr>
          <w:rFonts w:ascii="Palatino Linotype" w:hAnsi="Palatino Linotype"/>
          <w:sz w:val="20"/>
          <w:szCs w:val="20"/>
          <w:lang w:val="en-US"/>
        </w:rPr>
        <w:t>In this model, the minimum value of the optimal lag test criteria shows different lag values. Therefore, then taken one of the criteria that is the minimum AIC value. Table 6 shows that the minimum AIC value is in lag 4. Thus, the optimal lag value in this model uses lag 4.</w:t>
      </w:r>
    </w:p>
    <w:p w:rsidR="0099553B" w:rsidRDefault="0099553B" w:rsidP="007E17CF">
      <w:pPr>
        <w:spacing w:after="0" w:line="240" w:lineRule="auto"/>
        <w:ind w:firstLine="720"/>
        <w:jc w:val="both"/>
        <w:rPr>
          <w:rFonts w:ascii="Palatino Linotype" w:hAnsi="Palatino Linotype"/>
          <w:sz w:val="20"/>
          <w:szCs w:val="20"/>
          <w:lang w:val="en-US"/>
        </w:rPr>
      </w:pPr>
    </w:p>
    <w:p w:rsidR="0099553B" w:rsidRDefault="0099553B" w:rsidP="007E17CF">
      <w:pPr>
        <w:spacing w:after="0" w:line="240" w:lineRule="auto"/>
        <w:ind w:firstLine="720"/>
        <w:jc w:val="both"/>
        <w:rPr>
          <w:rFonts w:ascii="Palatino Linotype" w:hAnsi="Palatino Linotype"/>
          <w:sz w:val="20"/>
          <w:szCs w:val="20"/>
          <w:lang w:val="en-US"/>
        </w:rPr>
      </w:pPr>
    </w:p>
    <w:p w:rsidR="0099553B" w:rsidRDefault="0099553B" w:rsidP="007E17CF">
      <w:pPr>
        <w:spacing w:after="0" w:line="240" w:lineRule="auto"/>
        <w:ind w:firstLine="720"/>
        <w:jc w:val="both"/>
        <w:rPr>
          <w:rFonts w:ascii="Palatino Linotype" w:hAnsi="Palatino Linotype"/>
          <w:sz w:val="20"/>
          <w:szCs w:val="20"/>
          <w:lang w:val="en-US"/>
        </w:rPr>
      </w:pPr>
    </w:p>
    <w:p w:rsidR="00490619" w:rsidRDefault="00490619" w:rsidP="007E17CF">
      <w:pPr>
        <w:spacing w:after="0" w:line="240" w:lineRule="auto"/>
        <w:ind w:firstLine="720"/>
        <w:jc w:val="both"/>
        <w:rPr>
          <w:rFonts w:ascii="Palatino Linotype" w:hAnsi="Palatino Linotype"/>
          <w:sz w:val="20"/>
          <w:szCs w:val="20"/>
          <w:lang w:val="en-US"/>
        </w:rPr>
      </w:pPr>
    </w:p>
    <w:p w:rsidR="0099553B" w:rsidRPr="007E17CF" w:rsidRDefault="0099553B" w:rsidP="007E17CF">
      <w:pPr>
        <w:spacing w:after="0" w:line="240" w:lineRule="auto"/>
        <w:ind w:firstLine="720"/>
        <w:jc w:val="both"/>
        <w:rPr>
          <w:rFonts w:ascii="Palatino Linotype" w:hAnsi="Palatino Linotype"/>
          <w:sz w:val="20"/>
          <w:szCs w:val="20"/>
          <w:lang w:val="en-US"/>
        </w:rPr>
      </w:pPr>
    </w:p>
    <w:p w:rsidR="007E17CF" w:rsidRPr="007E17CF" w:rsidRDefault="007E17CF" w:rsidP="007E17CF">
      <w:pPr>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lastRenderedPageBreak/>
        <w:t>Table 6:</w:t>
      </w:r>
      <w:r w:rsidRPr="007E17CF">
        <w:rPr>
          <w:rFonts w:ascii="Palatino Linotype" w:hAnsi="Palatino Linotype"/>
          <w:b/>
          <w:sz w:val="20"/>
          <w:szCs w:val="20"/>
          <w:lang w:val="en-US"/>
        </w:rPr>
        <w:br/>
        <w:t xml:space="preserve">Optimal Lag Test Results of The Effectiveness of Fiscal and </w:t>
      </w:r>
    </w:p>
    <w:p w:rsidR="007E17CF" w:rsidRPr="007E17CF" w:rsidRDefault="007E17CF" w:rsidP="007E17CF">
      <w:pPr>
        <w:spacing w:after="0" w:line="240" w:lineRule="auto"/>
        <w:jc w:val="center"/>
        <w:rPr>
          <w:rFonts w:ascii="Palatino Linotype" w:eastAsia="Times New Roman" w:hAnsi="Palatino Linotype"/>
          <w:b/>
          <w:sz w:val="20"/>
          <w:szCs w:val="20"/>
          <w:lang w:val="en-US"/>
        </w:rPr>
      </w:pPr>
      <w:r w:rsidRPr="007E17CF">
        <w:rPr>
          <w:rFonts w:ascii="Palatino Linotype" w:hAnsi="Palatino Linotype"/>
          <w:b/>
          <w:sz w:val="20"/>
          <w:szCs w:val="20"/>
          <w:lang w:val="en-US"/>
        </w:rPr>
        <w:t>Monetary Policy on Prices</w:t>
      </w:r>
    </w:p>
    <w:tbl>
      <w:tblPr>
        <w:tblStyle w:val="TableGrid1"/>
        <w:tblW w:w="0" w:type="auto"/>
        <w:jc w:val="center"/>
        <w:tblLook w:val="04A0"/>
      </w:tblPr>
      <w:tblGrid>
        <w:gridCol w:w="675"/>
        <w:gridCol w:w="1126"/>
        <w:gridCol w:w="1261"/>
        <w:gridCol w:w="1263"/>
        <w:gridCol w:w="1261"/>
        <w:gridCol w:w="1261"/>
        <w:gridCol w:w="1261"/>
      </w:tblGrid>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Lag</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LogL</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LR</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FPE</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AIC</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SC</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HQ</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-1440.510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NA </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4.45e+27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72.17548</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72.30215</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72.22128</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-1398.179</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76.19566</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8.42e+26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70.50894</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71.01560*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70.69213*</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2</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-1393.016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8.519134</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1.03e+27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70.70078</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71.58744</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71.02137</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3</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-1378.390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21.93789*</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7.93e+26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70.41952</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71.68618</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70.87750</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4</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-1368.034</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13.98111</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7.72e+26*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70.35170*</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71.99836</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70.94708</w:t>
            </w:r>
          </w:p>
        </w:tc>
      </w:tr>
      <w:tr w:rsidR="007E17CF" w:rsidRPr="007E17CF" w:rsidTr="006C4B27">
        <w:trPr>
          <w:jc w:val="center"/>
        </w:trPr>
        <w:tc>
          <w:tcPr>
            <w:tcW w:w="67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5</w:t>
            </w:r>
          </w:p>
        </w:tc>
        <w:tc>
          <w:tcPr>
            <w:tcW w:w="112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-1363.483</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5.461128</w:t>
            </w:r>
          </w:p>
        </w:tc>
        <w:tc>
          <w:tcPr>
            <w:tcW w:w="1263"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1.03e+27</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70.57415</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72.60081</w:t>
            </w:r>
          </w:p>
        </w:tc>
        <w:tc>
          <w:tcPr>
            <w:tcW w:w="12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71.30693</w:t>
            </w:r>
          </w:p>
        </w:tc>
      </w:tr>
    </w:tbl>
    <w:p w:rsidR="007E17CF" w:rsidRDefault="007E17CF" w:rsidP="007E17CF">
      <w:pPr>
        <w:spacing w:after="0" w:line="240" w:lineRule="auto"/>
        <w:ind w:firstLine="709"/>
        <w:contextualSpacing/>
        <w:jc w:val="both"/>
        <w:rPr>
          <w:rFonts w:ascii="Palatino Linotype" w:eastAsia="Times New Roman" w:hAnsi="Palatino Linotype"/>
          <w:sz w:val="20"/>
          <w:szCs w:val="20"/>
          <w:lang w:val="en-US"/>
        </w:rPr>
      </w:pPr>
    </w:p>
    <w:p w:rsidR="0099553B" w:rsidRDefault="0099553B" w:rsidP="007E17CF">
      <w:pPr>
        <w:spacing w:after="0" w:line="240" w:lineRule="auto"/>
        <w:ind w:firstLine="709"/>
        <w:contextualSpacing/>
        <w:jc w:val="both"/>
        <w:rPr>
          <w:rFonts w:ascii="Palatino Linotype" w:eastAsia="Times New Roman" w:hAnsi="Palatino Linotype"/>
          <w:sz w:val="20"/>
          <w:szCs w:val="20"/>
          <w:lang w:val="en-US"/>
        </w:rPr>
      </w:pPr>
      <w:r w:rsidRPr="007E17CF">
        <w:rPr>
          <w:rFonts w:ascii="Palatino Linotype" w:hAnsi="Palatino Linotype"/>
          <w:sz w:val="20"/>
          <w:szCs w:val="20"/>
          <w:lang w:val="en-US"/>
        </w:rPr>
        <w:t>The VAR / VECM stability test is then performed. The VAR / VECM model of Fiscal Policy and monetary effectiveness against these prices is a stable model. This is seen from the nominal AR value residing in the circle as shown in Fig. 3. In the sense that the VAR / VECM model is a stable model.</w:t>
      </w:r>
    </w:p>
    <w:p w:rsidR="007E17CF" w:rsidRPr="007E17CF" w:rsidRDefault="007E17CF" w:rsidP="007E17CF">
      <w:pPr>
        <w:autoSpaceDE w:val="0"/>
        <w:autoSpaceDN w:val="0"/>
        <w:adjustRightInd w:val="0"/>
        <w:spacing w:after="0" w:line="240" w:lineRule="auto"/>
        <w:jc w:val="center"/>
        <w:rPr>
          <w:rFonts w:ascii="Palatino Linotype" w:hAnsi="Palatino Linotype"/>
          <w:sz w:val="24"/>
          <w:szCs w:val="24"/>
          <w:lang w:val="en-US"/>
        </w:rPr>
      </w:pPr>
      <w:r w:rsidRPr="007E17CF">
        <w:rPr>
          <w:rFonts w:ascii="Palatino Linotype" w:hAnsi="Palatino Linotype"/>
          <w:noProof/>
          <w:sz w:val="24"/>
          <w:szCs w:val="24"/>
          <w:lang w:val="en-US"/>
        </w:rPr>
        <w:drawing>
          <wp:inline distT="0" distB="0" distL="0" distR="0">
            <wp:extent cx="2409825" cy="180612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409825" cy="1806122"/>
                    </a:xfrm>
                    <a:prstGeom prst="rect">
                      <a:avLst/>
                    </a:prstGeom>
                    <a:noFill/>
                    <a:ln w="9525">
                      <a:noFill/>
                      <a:miter lim="800000"/>
                      <a:headEnd/>
                      <a:tailEnd/>
                    </a:ln>
                  </pic:spPr>
                </pic:pic>
              </a:graphicData>
            </a:graphic>
          </wp:inline>
        </w:drawing>
      </w:r>
    </w:p>
    <w:p w:rsidR="007E17CF" w:rsidRPr="007E17CF" w:rsidRDefault="007E17CF" w:rsidP="0099553B">
      <w:pPr>
        <w:spacing w:after="0" w:line="240" w:lineRule="auto"/>
        <w:ind w:left="993" w:hanging="993"/>
        <w:contextualSpacing/>
        <w:jc w:val="both"/>
        <w:rPr>
          <w:rFonts w:ascii="Palatino Linotype" w:hAnsi="Palatino Linotype"/>
          <w:sz w:val="20"/>
          <w:szCs w:val="20"/>
          <w:lang w:val="en-US"/>
        </w:rPr>
      </w:pPr>
      <w:r w:rsidRPr="007E17CF">
        <w:rPr>
          <w:rFonts w:ascii="Palatino Linotype" w:hAnsi="Palatino Linotype"/>
          <w:b/>
          <w:sz w:val="20"/>
          <w:szCs w:val="20"/>
          <w:lang w:val="en-US"/>
        </w:rPr>
        <w:t>Figure 3</w:t>
      </w:r>
      <w:r w:rsidR="000131E4">
        <w:rPr>
          <w:rFonts w:ascii="Palatino Linotype" w:hAnsi="Palatino Linotype"/>
          <w:b/>
          <w:sz w:val="20"/>
          <w:szCs w:val="20"/>
          <w:lang w:val="en-US"/>
        </w:rPr>
        <w:t xml:space="preserve"> </w:t>
      </w:r>
      <w:r w:rsidRPr="007E17CF">
        <w:rPr>
          <w:rFonts w:ascii="Palatino Linotype" w:hAnsi="Palatino Linotype"/>
          <w:b/>
          <w:sz w:val="20"/>
          <w:szCs w:val="20"/>
          <w:lang w:val="en-US"/>
        </w:rPr>
        <w:t>: Value of AR Roots of The Effectiveness of Fiscal and Monetary Policy on Prices</w:t>
      </w:r>
      <w:r w:rsidRPr="007E17CF">
        <w:rPr>
          <w:rFonts w:ascii="Palatino Linotype" w:hAnsi="Palatino Linotype"/>
          <w:b/>
          <w:sz w:val="20"/>
          <w:szCs w:val="20"/>
          <w:lang w:val="en-US"/>
        </w:rPr>
        <w:br/>
      </w:r>
    </w:p>
    <w:p w:rsidR="007E17CF" w:rsidRDefault="007E17CF" w:rsidP="007E17CF">
      <w:pPr>
        <w:spacing w:after="0" w:line="240" w:lineRule="auto"/>
        <w:ind w:firstLine="720"/>
        <w:contextualSpacing/>
        <w:jc w:val="both"/>
        <w:rPr>
          <w:rFonts w:ascii="Palatino Linotype" w:hAnsi="Palatino Linotype"/>
          <w:sz w:val="20"/>
          <w:szCs w:val="20"/>
          <w:lang w:val="en-US"/>
        </w:rPr>
      </w:pPr>
      <w:r w:rsidRPr="007E17CF">
        <w:rPr>
          <w:rFonts w:ascii="Palatino Linotype" w:hAnsi="Palatino Linotype"/>
          <w:sz w:val="20"/>
          <w:szCs w:val="20"/>
          <w:lang w:val="en-US"/>
        </w:rPr>
        <w:t>Then, the cointegration test shows that this model is an unintegrated model. This condition is seen from table 6 which shows the three hypotheses in this equation has a probability value greater than 0.05. By means of words, the effectiveness model of Fiscal Policy and monetary to the price can be estimated with VAR 1</w:t>
      </w:r>
      <w:r w:rsidRPr="007E17CF">
        <w:rPr>
          <w:rFonts w:ascii="Palatino Linotype" w:hAnsi="Palatino Linotype"/>
          <w:sz w:val="20"/>
          <w:szCs w:val="20"/>
          <w:vertAlign w:val="superscript"/>
          <w:lang w:val="en-US"/>
        </w:rPr>
        <w:t>st</w:t>
      </w:r>
      <w:r w:rsidRPr="007E17CF">
        <w:rPr>
          <w:rFonts w:ascii="Palatino Linotype" w:hAnsi="Palatino Linotype"/>
          <w:sz w:val="20"/>
          <w:szCs w:val="20"/>
          <w:lang w:val="en-US"/>
        </w:rPr>
        <w:t xml:space="preserve"> difference model.</w:t>
      </w:r>
    </w:p>
    <w:p w:rsidR="007E17CF" w:rsidRDefault="007E17CF" w:rsidP="007E17CF">
      <w:pPr>
        <w:spacing w:after="0" w:line="240" w:lineRule="auto"/>
        <w:ind w:firstLine="720"/>
        <w:contextualSpacing/>
        <w:jc w:val="both"/>
        <w:rPr>
          <w:rFonts w:ascii="Palatino Linotype" w:hAnsi="Palatino Linotype"/>
          <w:sz w:val="20"/>
          <w:szCs w:val="20"/>
          <w:lang w:val="en-US"/>
        </w:rPr>
      </w:pPr>
    </w:p>
    <w:p w:rsidR="007E17CF" w:rsidRPr="007E17CF" w:rsidRDefault="007E17CF" w:rsidP="007E17CF">
      <w:pPr>
        <w:spacing w:after="0" w:line="240" w:lineRule="auto"/>
        <w:contextualSpacing/>
        <w:jc w:val="center"/>
        <w:rPr>
          <w:rFonts w:ascii="Palatino Linotype" w:hAnsi="Palatino Linotype"/>
          <w:b/>
          <w:sz w:val="20"/>
          <w:szCs w:val="20"/>
          <w:lang w:val="en-US"/>
        </w:rPr>
      </w:pPr>
      <w:r w:rsidRPr="007E17CF">
        <w:rPr>
          <w:rFonts w:ascii="Palatino Linotype" w:hAnsi="Palatino Linotype"/>
          <w:b/>
          <w:sz w:val="20"/>
          <w:szCs w:val="20"/>
          <w:lang w:val="en-US"/>
        </w:rPr>
        <w:t>Table 7:</w:t>
      </w:r>
      <w:r w:rsidRPr="007E17CF">
        <w:rPr>
          <w:rFonts w:ascii="Palatino Linotype" w:hAnsi="Palatino Linotype"/>
          <w:b/>
          <w:sz w:val="20"/>
          <w:szCs w:val="20"/>
          <w:lang w:val="en-US"/>
        </w:rPr>
        <w:br/>
        <w:t xml:space="preserve">Cointegration Test Model of The Effectiveness of Fiscal and </w:t>
      </w:r>
    </w:p>
    <w:p w:rsidR="007E17CF" w:rsidRPr="007E17CF" w:rsidRDefault="007E17CF" w:rsidP="007E17CF">
      <w:pPr>
        <w:spacing w:after="0" w:line="240" w:lineRule="auto"/>
        <w:contextualSpacing/>
        <w:jc w:val="center"/>
        <w:rPr>
          <w:rFonts w:ascii="Palatino Linotype" w:eastAsia="Times New Roman" w:hAnsi="Palatino Linotype"/>
          <w:b/>
          <w:sz w:val="20"/>
          <w:szCs w:val="20"/>
          <w:lang w:val="en-US"/>
        </w:rPr>
      </w:pPr>
      <w:r w:rsidRPr="007E17CF">
        <w:rPr>
          <w:rFonts w:ascii="Palatino Linotype" w:hAnsi="Palatino Linotype"/>
          <w:b/>
          <w:sz w:val="20"/>
          <w:szCs w:val="20"/>
          <w:lang w:val="en-US"/>
        </w:rPr>
        <w:t>Monetary Policy on Prices</w:t>
      </w:r>
    </w:p>
    <w:tbl>
      <w:tblPr>
        <w:tblStyle w:val="TableGrid1"/>
        <w:tblW w:w="0" w:type="auto"/>
        <w:jc w:val="center"/>
        <w:tblLook w:val="04A0"/>
      </w:tblPr>
      <w:tblGrid>
        <w:gridCol w:w="1644"/>
        <w:gridCol w:w="1361"/>
        <w:gridCol w:w="1247"/>
        <w:gridCol w:w="1531"/>
        <w:gridCol w:w="1077"/>
      </w:tblGrid>
      <w:tr w:rsidR="007E17CF" w:rsidRPr="007E17CF" w:rsidTr="006C4B27">
        <w:trPr>
          <w:trHeight w:val="424"/>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Hypothesized</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No. of CE(s)</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Eigenvalue</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Trace</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Statistic</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0.05</w:t>
            </w:r>
          </w:p>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Critical Value</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Prob.**</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None</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0.002438</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0.111940</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29.79707</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1.0000</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At most 1</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0.000205</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0.011874</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15.49471</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1.0000</w:t>
            </w:r>
          </w:p>
        </w:tc>
      </w:tr>
      <w:tr w:rsidR="007E17CF" w:rsidRPr="007E17CF" w:rsidTr="006C4B27">
        <w:trPr>
          <w:jc w:val="center"/>
        </w:trPr>
        <w:tc>
          <w:tcPr>
            <w:tcW w:w="1644"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At most 2</w:t>
            </w:r>
          </w:p>
        </w:tc>
        <w:tc>
          <w:tcPr>
            <w:tcW w:w="13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8.44E-05</w:t>
            </w:r>
          </w:p>
        </w:tc>
        <w:tc>
          <w:tcPr>
            <w:tcW w:w="124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0.003462</w:t>
            </w:r>
          </w:p>
        </w:tc>
        <w:tc>
          <w:tcPr>
            <w:tcW w:w="153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3.841466</w:t>
            </w:r>
          </w:p>
        </w:tc>
        <w:tc>
          <w:tcPr>
            <w:tcW w:w="1077"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0.9513</w:t>
            </w:r>
          </w:p>
        </w:tc>
      </w:tr>
    </w:tbl>
    <w:p w:rsidR="007E17CF" w:rsidRPr="007E17CF" w:rsidRDefault="007E17CF" w:rsidP="007E17CF">
      <w:pPr>
        <w:autoSpaceDE w:val="0"/>
        <w:autoSpaceDN w:val="0"/>
        <w:adjustRightInd w:val="0"/>
        <w:spacing w:after="0" w:line="240" w:lineRule="auto"/>
        <w:rPr>
          <w:rFonts w:ascii="Palatino Linotype" w:hAnsi="Palatino Linotype"/>
          <w:sz w:val="20"/>
          <w:szCs w:val="20"/>
          <w:lang w:val="en-US"/>
        </w:rPr>
      </w:pPr>
    </w:p>
    <w:p w:rsidR="007E17CF" w:rsidRPr="007E17CF" w:rsidRDefault="007E17CF" w:rsidP="007E17CF">
      <w:pPr>
        <w:autoSpaceDE w:val="0"/>
        <w:autoSpaceDN w:val="0"/>
        <w:adjustRightInd w:val="0"/>
        <w:spacing w:after="0" w:line="240" w:lineRule="auto"/>
        <w:ind w:firstLine="720"/>
        <w:jc w:val="both"/>
        <w:rPr>
          <w:rFonts w:ascii="Palatino Linotype" w:eastAsia="Times New Roman" w:hAnsi="Palatino Linotype"/>
          <w:bCs/>
          <w:sz w:val="20"/>
          <w:szCs w:val="20"/>
          <w:lang w:val="en-US"/>
        </w:rPr>
      </w:pPr>
      <w:r w:rsidRPr="007E17CF">
        <w:rPr>
          <w:rFonts w:ascii="Palatino Linotype" w:hAnsi="Palatino Linotype"/>
          <w:sz w:val="20"/>
          <w:szCs w:val="20"/>
          <w:lang w:val="en-US"/>
        </w:rPr>
        <w:t>Furthermore, the result of IRF Fiscal Policy and monetary effectiveness towards the prices indicates that the shock Fiscal Policy initially responded by the prices with the increase then decreased until the 4</w:t>
      </w:r>
      <w:r w:rsidRPr="007E17CF">
        <w:rPr>
          <w:rFonts w:ascii="Palatino Linotype" w:hAnsi="Palatino Linotype"/>
          <w:sz w:val="20"/>
          <w:szCs w:val="20"/>
          <w:vertAlign w:val="superscript"/>
          <w:lang w:val="en-US"/>
        </w:rPr>
        <w:t>th</w:t>
      </w:r>
      <w:r w:rsidRPr="007E17CF">
        <w:rPr>
          <w:rFonts w:ascii="Palatino Linotype" w:hAnsi="Palatino Linotype"/>
          <w:sz w:val="20"/>
          <w:szCs w:val="20"/>
          <w:lang w:val="en-US"/>
        </w:rPr>
        <w:t xml:space="preserve"> period. Furthermore, it increases again until the 7</w:t>
      </w:r>
      <w:r w:rsidRPr="007E17CF">
        <w:rPr>
          <w:rFonts w:ascii="Palatino Linotype" w:hAnsi="Palatino Linotype"/>
          <w:sz w:val="20"/>
          <w:szCs w:val="20"/>
          <w:vertAlign w:val="superscript"/>
          <w:lang w:val="en-US"/>
        </w:rPr>
        <w:t>th</w:t>
      </w:r>
      <w:r w:rsidRPr="007E17CF">
        <w:rPr>
          <w:rFonts w:ascii="Palatino Linotype" w:hAnsi="Palatino Linotype"/>
          <w:sz w:val="20"/>
          <w:szCs w:val="20"/>
          <w:lang w:val="en-US"/>
        </w:rPr>
        <w:t xml:space="preserve"> period. In the 10</w:t>
      </w:r>
      <w:r w:rsidRPr="007E17CF">
        <w:rPr>
          <w:rFonts w:ascii="Palatino Linotype" w:hAnsi="Palatino Linotype"/>
          <w:sz w:val="20"/>
          <w:szCs w:val="20"/>
          <w:vertAlign w:val="superscript"/>
          <w:lang w:val="en-US"/>
        </w:rPr>
        <w:t>th</w:t>
      </w:r>
      <w:r w:rsidRPr="007E17CF">
        <w:rPr>
          <w:rFonts w:ascii="Palatino Linotype" w:hAnsi="Palatino Linotype"/>
          <w:sz w:val="20"/>
          <w:szCs w:val="20"/>
          <w:lang w:val="en-US"/>
        </w:rPr>
        <w:t xml:space="preserve"> period the response of prices approaches the equilibrium line. This means that response prices begin to disappear in the period to 10 due to the shock Fiscal Policy. This condition is shown in Figure 4 (A). </w:t>
      </w:r>
    </w:p>
    <w:p w:rsidR="007E17CF" w:rsidRPr="007E17CF" w:rsidRDefault="007E17CF" w:rsidP="007E17CF">
      <w:pPr>
        <w:autoSpaceDE w:val="0"/>
        <w:autoSpaceDN w:val="0"/>
        <w:adjustRightInd w:val="0"/>
        <w:spacing w:after="0" w:line="240" w:lineRule="auto"/>
        <w:jc w:val="both"/>
        <w:rPr>
          <w:rFonts w:ascii="Palatino Linotype" w:eastAsia="Times New Roman" w:hAnsi="Palatino Linotype"/>
          <w:bCs/>
          <w:sz w:val="24"/>
          <w:szCs w:val="24"/>
          <w:lang w:val="en-US"/>
        </w:rPr>
      </w:pPr>
    </w:p>
    <w:p w:rsidR="007E17CF" w:rsidRPr="007E17CF" w:rsidRDefault="007E17CF" w:rsidP="007E17CF">
      <w:pPr>
        <w:autoSpaceDE w:val="0"/>
        <w:autoSpaceDN w:val="0"/>
        <w:adjustRightInd w:val="0"/>
        <w:spacing w:after="0" w:line="240" w:lineRule="auto"/>
        <w:jc w:val="center"/>
        <w:rPr>
          <w:rFonts w:ascii="Palatino Linotype" w:eastAsia="Times New Roman" w:hAnsi="Palatino Linotype"/>
          <w:bCs/>
          <w:sz w:val="24"/>
          <w:szCs w:val="24"/>
          <w:lang w:val="en-US"/>
        </w:rPr>
      </w:pPr>
      <w:r w:rsidRPr="007E17CF">
        <w:rPr>
          <w:rFonts w:ascii="Palatino Linotype" w:eastAsia="Times New Roman" w:hAnsi="Palatino Linotype"/>
          <w:bCs/>
          <w:noProof/>
          <w:sz w:val="24"/>
          <w:szCs w:val="24"/>
          <w:lang w:val="en-US"/>
        </w:rPr>
        <w:lastRenderedPageBreak/>
        <w:drawing>
          <wp:inline distT="0" distB="0" distL="0" distR="0">
            <wp:extent cx="5040630" cy="2538126"/>
            <wp:effectExtent l="1905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040630" cy="2538126"/>
                    </a:xfrm>
                    <a:prstGeom prst="rect">
                      <a:avLst/>
                    </a:prstGeom>
                    <a:noFill/>
                    <a:ln w="9525">
                      <a:noFill/>
                      <a:miter lim="800000"/>
                      <a:headEnd/>
                      <a:tailEnd/>
                    </a:ln>
                  </pic:spPr>
                </pic:pic>
              </a:graphicData>
            </a:graphic>
          </wp:inline>
        </w:drawing>
      </w:r>
    </w:p>
    <w:p w:rsidR="007E17CF" w:rsidRPr="007E17CF" w:rsidRDefault="007E17CF" w:rsidP="007E17CF">
      <w:pPr>
        <w:autoSpaceDE w:val="0"/>
        <w:autoSpaceDN w:val="0"/>
        <w:adjustRightInd w:val="0"/>
        <w:spacing w:after="0" w:line="240" w:lineRule="auto"/>
        <w:jc w:val="both"/>
        <w:rPr>
          <w:rFonts w:ascii="Palatino Linotype" w:hAnsi="Palatino Linotype"/>
          <w:sz w:val="20"/>
          <w:szCs w:val="20"/>
          <w:lang w:val="en-US"/>
        </w:rPr>
      </w:pPr>
      <w:r w:rsidRPr="007E17CF">
        <w:rPr>
          <w:rFonts w:ascii="Palatino Linotype" w:hAnsi="Palatino Linotype"/>
          <w:b/>
          <w:sz w:val="20"/>
          <w:szCs w:val="20"/>
          <w:lang w:val="en-US"/>
        </w:rPr>
        <w:t>Figure 4</w:t>
      </w:r>
      <w:r w:rsidR="009015B1">
        <w:rPr>
          <w:rFonts w:ascii="Palatino Linotype" w:hAnsi="Palatino Linotype"/>
          <w:b/>
          <w:sz w:val="20"/>
          <w:szCs w:val="20"/>
          <w:lang w:val="en-US"/>
        </w:rPr>
        <w:t xml:space="preserve"> </w:t>
      </w:r>
      <w:r w:rsidRPr="007E17CF">
        <w:rPr>
          <w:rFonts w:ascii="Palatino Linotype" w:hAnsi="Palatino Linotype"/>
          <w:b/>
          <w:sz w:val="20"/>
          <w:szCs w:val="20"/>
          <w:lang w:val="en-US"/>
        </w:rPr>
        <w:t>: Prices Response Due to Shock Fiscal Policy (A) and Monetary Policy (B)</w:t>
      </w:r>
      <w:r w:rsidRPr="007E17CF">
        <w:rPr>
          <w:rFonts w:ascii="Palatino Linotype" w:hAnsi="Palatino Linotype"/>
          <w:b/>
          <w:sz w:val="20"/>
          <w:szCs w:val="20"/>
          <w:lang w:val="en-US"/>
        </w:rPr>
        <w:br/>
      </w:r>
    </w:p>
    <w:p w:rsidR="007E17CF" w:rsidRPr="007E17CF" w:rsidRDefault="007E17CF" w:rsidP="007E17CF">
      <w:pPr>
        <w:autoSpaceDE w:val="0"/>
        <w:autoSpaceDN w:val="0"/>
        <w:adjustRightInd w:val="0"/>
        <w:spacing w:after="0" w:line="240" w:lineRule="auto"/>
        <w:ind w:firstLine="720"/>
        <w:jc w:val="both"/>
        <w:rPr>
          <w:rFonts w:ascii="Palatino Linotype" w:hAnsi="Palatino Linotype"/>
          <w:sz w:val="20"/>
          <w:szCs w:val="20"/>
          <w:lang w:val="en-US"/>
        </w:rPr>
      </w:pPr>
      <w:r w:rsidRPr="007E17CF">
        <w:rPr>
          <w:rFonts w:ascii="Palatino Linotype" w:hAnsi="Palatino Linotype"/>
          <w:sz w:val="20"/>
          <w:szCs w:val="20"/>
          <w:lang w:val="en-US"/>
        </w:rPr>
        <w:t>Similar to the shock of Fiscal Policy on prices, shock Monetary Policy initially also showed an increase in prices with a positive value. It then decreases in the 3</w:t>
      </w:r>
      <w:r w:rsidRPr="007E17CF">
        <w:rPr>
          <w:rFonts w:ascii="Palatino Linotype" w:hAnsi="Palatino Linotype"/>
          <w:sz w:val="20"/>
          <w:szCs w:val="20"/>
          <w:vertAlign w:val="superscript"/>
          <w:lang w:val="en-US"/>
        </w:rPr>
        <w:t>rd</w:t>
      </w:r>
      <w:r w:rsidRPr="007E17CF">
        <w:rPr>
          <w:rFonts w:ascii="Palatino Linotype" w:hAnsi="Palatino Linotype"/>
          <w:sz w:val="20"/>
          <w:szCs w:val="20"/>
          <w:lang w:val="en-US"/>
        </w:rPr>
        <w:t xml:space="preserve"> period and approaches the equilibrium line. This impact is also not permanent in the long term. This is shown in Figure 4 (B).</w:t>
      </w:r>
    </w:p>
    <w:p w:rsidR="007E17CF" w:rsidRDefault="007E17CF" w:rsidP="007E17CF">
      <w:pPr>
        <w:autoSpaceDE w:val="0"/>
        <w:autoSpaceDN w:val="0"/>
        <w:adjustRightInd w:val="0"/>
        <w:spacing w:after="0" w:line="240" w:lineRule="auto"/>
        <w:ind w:firstLine="720"/>
        <w:jc w:val="both"/>
        <w:rPr>
          <w:rFonts w:ascii="Palatino Linotype" w:hAnsi="Palatino Linotype"/>
          <w:sz w:val="20"/>
          <w:szCs w:val="20"/>
          <w:lang w:val="en-US"/>
        </w:rPr>
      </w:pPr>
      <w:r w:rsidRPr="007E17CF">
        <w:rPr>
          <w:rFonts w:ascii="Palatino Linotype" w:hAnsi="Palatino Linotype"/>
          <w:sz w:val="20"/>
          <w:szCs w:val="20"/>
          <w:lang w:val="en-US"/>
        </w:rPr>
        <w:t>The results of the Fiscal Policy and monetary effectiveness tests against the prices indicate that the Fiscal Policy is more effective against the variability of prices than the Monetary Policy. Table 8 shows that both in the short term and in the long run the contribution of the shock fiscal policy is greater than the contribution of the Monetary Policy shock. In the short term, the Fiscal Policy's contribution to the variability of prices is 41.70% and in the long term 31.68%. While the Monetary Policy in the short term contributed 28.52% shock to the variability of prices and in the long term amounted to 22.67%.</w:t>
      </w:r>
    </w:p>
    <w:p w:rsidR="00841D4E" w:rsidRDefault="00841D4E" w:rsidP="007E17CF">
      <w:pPr>
        <w:autoSpaceDE w:val="0"/>
        <w:autoSpaceDN w:val="0"/>
        <w:adjustRightInd w:val="0"/>
        <w:spacing w:after="0" w:line="240" w:lineRule="auto"/>
        <w:ind w:firstLine="720"/>
        <w:jc w:val="both"/>
        <w:rPr>
          <w:rFonts w:ascii="Palatino Linotype" w:hAnsi="Palatino Linotype"/>
          <w:sz w:val="20"/>
          <w:szCs w:val="20"/>
          <w:lang w:val="en-US"/>
        </w:rPr>
      </w:pP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Table 8:</w:t>
      </w:r>
    </w:p>
    <w:p w:rsidR="007E17CF" w:rsidRPr="007E17CF" w:rsidRDefault="007E17CF" w:rsidP="007E17CF">
      <w:pPr>
        <w:autoSpaceDE w:val="0"/>
        <w:autoSpaceDN w:val="0"/>
        <w:adjustRightInd w:val="0"/>
        <w:spacing w:after="0" w:line="240" w:lineRule="auto"/>
        <w:jc w:val="center"/>
        <w:rPr>
          <w:rFonts w:ascii="Palatino Linotype" w:hAnsi="Palatino Linotype"/>
          <w:b/>
          <w:sz w:val="20"/>
          <w:szCs w:val="20"/>
          <w:lang w:val="en-US"/>
        </w:rPr>
      </w:pPr>
      <w:r w:rsidRPr="007E17CF">
        <w:rPr>
          <w:rFonts w:ascii="Palatino Linotype" w:hAnsi="Palatino Linotype"/>
          <w:b/>
          <w:sz w:val="20"/>
          <w:szCs w:val="20"/>
          <w:lang w:val="en-US"/>
        </w:rPr>
        <w:t>FEVD Test Model of The Effectiveness of Fiscal and Monetary Policy on Prices</w:t>
      </w:r>
    </w:p>
    <w:tbl>
      <w:tblPr>
        <w:tblStyle w:val="TableGrid1"/>
        <w:tblW w:w="0" w:type="auto"/>
        <w:jc w:val="center"/>
        <w:tblLook w:val="04A0"/>
      </w:tblPr>
      <w:tblGrid>
        <w:gridCol w:w="1563"/>
        <w:gridCol w:w="1135"/>
        <w:gridCol w:w="1096"/>
        <w:gridCol w:w="1096"/>
        <w:gridCol w:w="1096"/>
      </w:tblGrid>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Variance Decomposition of D(P):</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Period</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S.E.</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D(G)</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D(MS)</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D(P)</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2.783079</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41.70261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28.52551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29.77187</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2.842697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39.97714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27.41874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32.60412</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3.147561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32.75524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27.23877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40.00598</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3.391077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33.62888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23.50828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42.86284</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5</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3.432876</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33.88952</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23.12748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42.98300</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6</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3.459311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33.40162</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22.79716</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43.80122</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7</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3.498336</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33.00321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22.31545</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44.68134</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8</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3.530632</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32.54967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21.97281</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45.47752</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9</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3.566724</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32.27337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22.01458</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45.71205</w:t>
            </w:r>
          </w:p>
        </w:tc>
      </w:tr>
      <w:tr w:rsidR="007E17CF" w:rsidRPr="007E17CF" w:rsidTr="006C4B27">
        <w:trPr>
          <w:jc w:val="center"/>
        </w:trPr>
        <w:tc>
          <w:tcPr>
            <w:tcW w:w="1561"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10</w:t>
            </w:r>
          </w:p>
        </w:tc>
        <w:tc>
          <w:tcPr>
            <w:tcW w:w="1135"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3.603227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31.68190</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22.67347</w:t>
            </w:r>
          </w:p>
        </w:tc>
        <w:tc>
          <w:tcPr>
            <w:tcW w:w="1096" w:type="dxa"/>
            <w:vAlign w:val="bottom"/>
          </w:tcPr>
          <w:p w:rsidR="007E17CF" w:rsidRPr="007E17CF" w:rsidRDefault="007E17CF" w:rsidP="007E17CF">
            <w:pPr>
              <w:autoSpaceDE w:val="0"/>
              <w:autoSpaceDN w:val="0"/>
              <w:adjustRightInd w:val="0"/>
              <w:jc w:val="center"/>
              <w:rPr>
                <w:rFonts w:ascii="Palatino Linotype" w:hAnsi="Palatino Linotype"/>
                <w:color w:val="000000"/>
                <w:sz w:val="20"/>
                <w:szCs w:val="20"/>
                <w:lang w:val="en-US"/>
              </w:rPr>
            </w:pPr>
            <w:r w:rsidRPr="007E17CF">
              <w:rPr>
                <w:rFonts w:ascii="Palatino Linotype" w:hAnsi="Palatino Linotype"/>
                <w:color w:val="000000"/>
                <w:sz w:val="20"/>
                <w:szCs w:val="20"/>
                <w:lang w:val="en-US"/>
              </w:rPr>
              <w:t> 45.64463</w:t>
            </w:r>
          </w:p>
        </w:tc>
      </w:tr>
    </w:tbl>
    <w:p w:rsidR="00077E67" w:rsidRDefault="00077E67">
      <w:pPr>
        <w:spacing w:after="0" w:line="240" w:lineRule="auto"/>
        <w:ind w:left="1134"/>
        <w:rPr>
          <w:rFonts w:ascii="Palatino Linotype" w:hAnsi="Palatino Linotype" w:cstheme="minorHAnsi"/>
          <w:sz w:val="20"/>
          <w:szCs w:val="24"/>
          <w:lang w:val="en-US"/>
        </w:rPr>
      </w:pPr>
    </w:p>
    <w:p w:rsidR="00490619" w:rsidRPr="00490619" w:rsidRDefault="00490619" w:rsidP="00490619">
      <w:pPr>
        <w:spacing w:after="0" w:line="240" w:lineRule="auto"/>
        <w:ind w:firstLine="567"/>
        <w:jc w:val="both"/>
        <w:rPr>
          <w:rFonts w:ascii="Palatino Linotype" w:hAnsi="Palatino Linotype" w:cstheme="minorHAnsi"/>
          <w:sz w:val="20"/>
          <w:szCs w:val="24"/>
          <w:lang w:val="en-US"/>
        </w:rPr>
      </w:pPr>
      <w:r w:rsidRPr="00490619">
        <w:rPr>
          <w:rFonts w:ascii="Palatino Linotype" w:hAnsi="Palatino Linotype" w:cstheme="minorHAnsi"/>
          <w:sz w:val="20"/>
          <w:szCs w:val="24"/>
          <w:lang w:val="en-US"/>
        </w:rPr>
        <w:t>The effectiveness of fiscal policy rather than monetary policy on prices in Indonesia is due to the direct effect of fiscal policy on the real sector which has an impact on increasing the production of goods and services. Increase in government expenditures in the form of capital expenditures, personnel goods, infrastructure spending and others will trigger an increase in the money supply. This if not controlled will cause inflation.</w:t>
      </w:r>
    </w:p>
    <w:p w:rsidR="0099553B" w:rsidRDefault="00490619" w:rsidP="00490619">
      <w:pPr>
        <w:spacing w:after="0" w:line="240" w:lineRule="auto"/>
        <w:ind w:firstLine="567"/>
        <w:jc w:val="both"/>
        <w:rPr>
          <w:rFonts w:ascii="Palatino Linotype" w:hAnsi="Palatino Linotype" w:cstheme="minorHAnsi"/>
          <w:sz w:val="20"/>
          <w:szCs w:val="24"/>
          <w:lang w:val="en-US"/>
        </w:rPr>
      </w:pPr>
      <w:r w:rsidRPr="00490619">
        <w:rPr>
          <w:rFonts w:ascii="Palatino Linotype" w:hAnsi="Palatino Linotype" w:cstheme="minorHAnsi"/>
          <w:sz w:val="20"/>
          <w:szCs w:val="24"/>
          <w:lang w:val="en-US"/>
        </w:rPr>
        <w:lastRenderedPageBreak/>
        <w:t>Although the ultimate goal of monetary policy in Indonesia is controlled prices, the results of this study show that monetary policy is less effective than fiscal policy in influencing prices. This condition is due to the effect of monetary policy takes a long time to anticipate price increase. The monetary policy transmission lines make the monetary policy effect difficult to achieve. Thus, when the government increases its spending precisely in the short run the price increases. In the long run, new monetary policy reactions can be realized in controlling prices.</w:t>
      </w:r>
    </w:p>
    <w:p w:rsidR="0099553B" w:rsidRDefault="0099553B">
      <w:pPr>
        <w:spacing w:after="0" w:line="240" w:lineRule="auto"/>
        <w:ind w:left="1134"/>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b/>
          <w:sz w:val="28"/>
          <w:szCs w:val="24"/>
          <w:lang w:val="en-US"/>
        </w:rPr>
        <w:sectPr w:rsidR="00077E67">
          <w:type w:val="continuous"/>
          <w:pgSz w:w="11906" w:h="16838"/>
          <w:pgMar w:top="1440" w:right="1440" w:bottom="1440" w:left="1440" w:header="568" w:footer="567" w:gutter="0"/>
          <w:cols w:space="708"/>
          <w:titlePg/>
          <w:docGrid w:linePitch="360"/>
        </w:sect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585336" w:rsidRPr="00585336" w:rsidRDefault="00585336" w:rsidP="001C33C8">
      <w:pPr>
        <w:spacing w:after="0" w:line="240" w:lineRule="auto"/>
        <w:ind w:firstLine="567"/>
        <w:jc w:val="both"/>
        <w:rPr>
          <w:rFonts w:ascii="Palatino Linotype" w:hAnsi="Palatino Linotype" w:cstheme="minorHAnsi"/>
          <w:sz w:val="20"/>
          <w:szCs w:val="24"/>
        </w:rPr>
      </w:pPr>
      <w:r w:rsidRPr="00585336">
        <w:rPr>
          <w:rFonts w:ascii="Palatino Linotype" w:hAnsi="Palatino Linotype" w:cstheme="minorHAnsi"/>
          <w:sz w:val="20"/>
          <w:szCs w:val="24"/>
        </w:rPr>
        <w:t>The conclusions of this study indicate that Fiscal Policy is more effective against output and prices in Indonesia compared to Monetary Policy. The effectiveness of Fiscal Policy compared to Monetary Policy can be seen from the contribution of shock Fiscal Policy to the variability of output and prices greater than Monetary Policy.</w:t>
      </w:r>
    </w:p>
    <w:p w:rsidR="00585336" w:rsidRPr="00585336" w:rsidRDefault="00585336" w:rsidP="001C33C8">
      <w:pPr>
        <w:spacing w:after="0" w:line="240" w:lineRule="auto"/>
        <w:ind w:firstLine="567"/>
        <w:jc w:val="both"/>
        <w:rPr>
          <w:rFonts w:ascii="Palatino Linotype" w:hAnsi="Palatino Linotype" w:cstheme="minorHAnsi"/>
          <w:sz w:val="20"/>
          <w:szCs w:val="24"/>
        </w:rPr>
      </w:pPr>
      <w:r w:rsidRPr="00585336">
        <w:rPr>
          <w:rFonts w:ascii="Palatino Linotype" w:hAnsi="Palatino Linotype" w:cstheme="minorHAnsi"/>
          <w:sz w:val="20"/>
          <w:szCs w:val="24"/>
        </w:rPr>
        <w:t>Based on these conclusions, it is suggested to the government through the relevant ministries and Bank Indonesia always maintain the interaction and synergy between Fiscal Policy and monetary to macroeconomic variables. The interaction and synergy between these policies is necessary so that these two policies avoid mutually exclusive issues.</w:t>
      </w:r>
    </w:p>
    <w:p w:rsidR="00077E67" w:rsidRDefault="00585336" w:rsidP="001C33C8">
      <w:pPr>
        <w:spacing w:after="0" w:line="240" w:lineRule="auto"/>
        <w:ind w:firstLine="567"/>
        <w:jc w:val="both"/>
        <w:rPr>
          <w:rFonts w:ascii="Palatino Linotype" w:hAnsi="Palatino Linotype" w:cstheme="minorHAnsi"/>
          <w:sz w:val="20"/>
          <w:szCs w:val="24"/>
          <w:lang w:val="en-US"/>
        </w:rPr>
      </w:pPr>
      <w:r w:rsidRPr="00585336">
        <w:rPr>
          <w:rFonts w:ascii="Palatino Linotype" w:hAnsi="Palatino Linotype" w:cstheme="minorHAnsi"/>
          <w:sz w:val="20"/>
          <w:szCs w:val="24"/>
        </w:rPr>
        <w:t>Fiscal Policy has proven to be more effective against output and price variables. Therefore, the government and all related parties to prioritize Fiscal Policy in responding to the fluctuation of output and prices in Indonesia. After that, then the government supports with the Monetary Policy. When output falls, the government prioritizes Fiscal Policy by increasing its expenditure. Like increasing infrastructure projects, lowering taxes, providing affordable business loans to Small and Medium Enterprises and others so that this condition will add to the smooth production of goods and services. Certainly it will ultimately have an impact on increasing output. After that, then Bank Indonesia through its policy instrument to increase the money supply through the decline of interest rates. Reduced interest rates will reduce the burden of investor funds so that will encourage increased investment. Increased investment will contribute to increased output.</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fldChar w:fldCharType="begin" w:fldLock="1"/>
      </w:r>
      <w:r w:rsidRPr="000059D9">
        <w:rPr>
          <w:rFonts w:ascii="Palatino Linotype" w:hAnsi="Palatino Linotype"/>
          <w:sz w:val="20"/>
          <w:szCs w:val="20"/>
          <w:lang w:val="en-US"/>
        </w:rPr>
        <w:instrText xml:space="preserve">ADDIN Mendeley Bibliography CSL_BIBLIOGRAPHY </w:instrText>
      </w:r>
      <w:r w:rsidRPr="000059D9">
        <w:rPr>
          <w:rFonts w:ascii="Palatino Linotype" w:hAnsi="Palatino Linotype"/>
          <w:sz w:val="20"/>
          <w:szCs w:val="20"/>
          <w:lang w:val="en-US"/>
        </w:rPr>
        <w:fldChar w:fldCharType="separate"/>
      </w:r>
      <w:r w:rsidRPr="000059D9">
        <w:rPr>
          <w:rFonts w:ascii="Palatino Linotype" w:hAnsi="Palatino Linotype"/>
          <w:noProof/>
          <w:sz w:val="20"/>
          <w:szCs w:val="20"/>
          <w:lang w:val="en-US"/>
        </w:rPr>
        <w:t xml:space="preserve">Abata, M. A., Kehinde, J. S., &amp; Bolarinwa, S. A. (2012). Fiscal/Monetary Policy and Economic Growth in Nigeria: A Theoretical Exploration. </w:t>
      </w:r>
      <w:r w:rsidRPr="000059D9">
        <w:rPr>
          <w:rFonts w:ascii="Palatino Linotype" w:hAnsi="Palatino Linotype"/>
          <w:i/>
          <w:iCs/>
          <w:noProof/>
          <w:sz w:val="20"/>
          <w:szCs w:val="20"/>
          <w:lang w:val="en-US"/>
        </w:rPr>
        <w:t>International Journal of Academic Research in Economics and Management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1</w:t>
      </w:r>
      <w:r w:rsidRPr="000059D9">
        <w:rPr>
          <w:rFonts w:ascii="Palatino Linotype" w:hAnsi="Palatino Linotype"/>
          <w:noProof/>
          <w:sz w:val="20"/>
          <w:szCs w:val="20"/>
          <w:lang w:val="en-US"/>
        </w:rPr>
        <w:t>(5), 75–88.</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Adefeso, H.A, &amp; H. . M. (2010). Adefeso. 2010. The Fiscal and Monetary Policy on Economi Growth in Nigeria.pdf. </w:t>
      </w:r>
      <w:r w:rsidRPr="000059D9">
        <w:rPr>
          <w:rFonts w:ascii="Palatino Linotype" w:hAnsi="Palatino Linotype"/>
          <w:i/>
          <w:iCs/>
          <w:noProof/>
          <w:sz w:val="20"/>
          <w:szCs w:val="20"/>
          <w:lang w:val="en-US"/>
        </w:rPr>
        <w:t>Pakistan Journal of Social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 137–142.</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Ajayi, S. I. (1974). An Econometric Case Study of the Relative Importance of Monetary and Fiscal policy in Nigeria. </w:t>
      </w:r>
      <w:r w:rsidRPr="000059D9">
        <w:rPr>
          <w:rFonts w:ascii="Palatino Linotype" w:hAnsi="Palatino Linotype"/>
          <w:i/>
          <w:iCs/>
          <w:noProof/>
          <w:sz w:val="20"/>
          <w:szCs w:val="20"/>
          <w:lang w:val="en-US"/>
        </w:rPr>
        <w:t>The Bangladesh Economic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(2), 559–576.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Ajisafe, R. A., &amp; Folorunso, B. A. (2002). The Relative Effectiveness of Fiscal and Monetary Policy in Macroeconomic Management in Nigeria. </w:t>
      </w:r>
      <w:r w:rsidRPr="000059D9">
        <w:rPr>
          <w:rFonts w:ascii="Palatino Linotype" w:hAnsi="Palatino Linotype"/>
          <w:i/>
          <w:iCs/>
          <w:noProof/>
          <w:sz w:val="20"/>
          <w:szCs w:val="20"/>
          <w:lang w:val="en-US"/>
        </w:rPr>
        <w:t>The African Economic and Business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(1), 23–40.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Ali, S. I. S., &amp; A, A. (2008). Whether Fiscal Stance or Monetary Policy is Effective for Economic Growth in Case of South Asian Countries. </w:t>
      </w:r>
      <w:r w:rsidRPr="000059D9">
        <w:rPr>
          <w:rFonts w:ascii="Palatino Linotype" w:hAnsi="Palatino Linotype"/>
          <w:i/>
          <w:iCs/>
          <w:noProof/>
          <w:sz w:val="20"/>
          <w:szCs w:val="20"/>
          <w:lang w:val="en-US"/>
        </w:rPr>
        <w:t>The Pakistan Development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47</w:t>
      </w:r>
      <w:r w:rsidRPr="000059D9">
        <w:rPr>
          <w:rFonts w:ascii="Palatino Linotype" w:hAnsi="Palatino Linotype"/>
          <w:noProof/>
          <w:sz w:val="20"/>
          <w:szCs w:val="20"/>
          <w:lang w:val="en-US"/>
        </w:rPr>
        <w:t>(4), 791–799.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Ansari, M. I. (1996). Monetary vs. Fiscal Policy: Some Evidence from Vector Autoregression for India. </w:t>
      </w:r>
      <w:r w:rsidRPr="000059D9">
        <w:rPr>
          <w:rFonts w:ascii="Palatino Linotype" w:hAnsi="Palatino Linotype"/>
          <w:i/>
          <w:iCs/>
          <w:noProof/>
          <w:sz w:val="20"/>
          <w:szCs w:val="20"/>
          <w:lang w:val="en-US"/>
        </w:rPr>
        <w:t>Journal of Asian Economics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(4), 677–698. http://doi.org/10.1016/S1049-0078(96)90061-5</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Chowdhury, A. (1986a). Monetary and Fiscal Impacts on Economic Activities in Bangladesh: A Note. </w:t>
      </w:r>
      <w:r w:rsidRPr="000059D9">
        <w:rPr>
          <w:rFonts w:ascii="Palatino Linotype" w:hAnsi="Palatino Linotype"/>
          <w:i/>
          <w:iCs/>
          <w:noProof/>
          <w:sz w:val="20"/>
          <w:szCs w:val="20"/>
          <w:lang w:val="en-US"/>
        </w:rPr>
        <w:t>The Bangladesh Development Studies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14</w:t>
      </w:r>
      <w:r w:rsidRPr="000059D9">
        <w:rPr>
          <w:rFonts w:ascii="Palatino Linotype" w:hAnsi="Palatino Linotype"/>
          <w:noProof/>
          <w:sz w:val="20"/>
          <w:szCs w:val="20"/>
          <w:lang w:val="en-US"/>
        </w:rPr>
        <w:t>(1), 149–154.</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Chowdhury, A. (1986b). Monetary Policy , Fiscal Policy , and Aggregate Economic Activity in Korea. </w:t>
      </w:r>
      <w:r w:rsidRPr="000059D9">
        <w:rPr>
          <w:rFonts w:ascii="Palatino Linotype" w:hAnsi="Palatino Linotype"/>
          <w:i/>
          <w:iCs/>
          <w:noProof/>
          <w:sz w:val="20"/>
          <w:szCs w:val="20"/>
          <w:lang w:val="en-US"/>
        </w:rPr>
        <w:t>Asian Economies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58</w:t>
      </w:r>
      <w:r w:rsidRPr="000059D9">
        <w:rPr>
          <w:rFonts w:ascii="Palatino Linotype" w:hAnsi="Palatino Linotype"/>
          <w:noProof/>
          <w:sz w:val="20"/>
          <w:szCs w:val="20"/>
          <w:lang w:val="en-US"/>
        </w:rPr>
        <w:t>(September), 47–57.</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Cyrus, M. (2014). Monetary and Fiscal Policy Shocks and Economic Growth in Kenya</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VAR Econometric Approach,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(6), 95–108. http://doi.org/10.11648/j.jwer.20140306.14</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Fatima, A., &amp; Iqbal, A. (2003). The Relative Effectiveness of Monetary and Fiscal Policies An Econometric Study. </w:t>
      </w:r>
      <w:r w:rsidRPr="000059D9">
        <w:rPr>
          <w:rFonts w:ascii="Palatino Linotype" w:hAnsi="Palatino Linotype"/>
          <w:i/>
          <w:iCs/>
          <w:noProof/>
          <w:sz w:val="20"/>
          <w:szCs w:val="20"/>
          <w:lang w:val="en-US"/>
        </w:rPr>
        <w:t>Pakistan Economic and Social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XLI</w:t>
      </w:r>
      <w:r w:rsidRPr="000059D9">
        <w:rPr>
          <w:rFonts w:ascii="Palatino Linotype" w:hAnsi="Palatino Linotype"/>
          <w:noProof/>
          <w:sz w:val="20"/>
          <w:szCs w:val="20"/>
          <w:lang w:val="en-US"/>
        </w:rPr>
        <w:t>(1&amp;2), 93–116.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lastRenderedPageBreak/>
        <w:t xml:space="preserve">Fetai, B. (2013). The Effectiveness of Fiscal and Monetary Policy During the Financial Crisis, </w:t>
      </w:r>
      <w:r w:rsidRPr="000059D9">
        <w:rPr>
          <w:rFonts w:ascii="Palatino Linotype" w:hAnsi="Palatino Linotype"/>
          <w:i/>
          <w:iCs/>
          <w:noProof/>
          <w:sz w:val="20"/>
          <w:szCs w:val="20"/>
          <w:lang w:val="en-US"/>
        </w:rPr>
        <w:t>XVI</w:t>
      </w:r>
      <w:r w:rsidRPr="000059D9">
        <w:rPr>
          <w:rFonts w:ascii="Palatino Linotype" w:hAnsi="Palatino Linotype"/>
          <w:noProof/>
          <w:sz w:val="20"/>
          <w:szCs w:val="20"/>
          <w:lang w:val="en-US"/>
        </w:rPr>
        <w:t>(2), 53–66.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Jawaid, S. T., Arif, I., &amp; Naeemullah, S. M. (2010). Comparative Analysis of Monetary and Fiscal Policy: A Case Study of Pakistan. </w:t>
      </w:r>
      <w:r w:rsidRPr="000059D9">
        <w:rPr>
          <w:rFonts w:ascii="Palatino Linotype" w:hAnsi="Palatino Linotype"/>
          <w:i/>
          <w:iCs/>
          <w:noProof/>
          <w:sz w:val="20"/>
          <w:szCs w:val="20"/>
          <w:lang w:val="en-US"/>
        </w:rPr>
        <w:t>MPRA Paper No. 30850</w:t>
      </w:r>
      <w:r w:rsidRPr="000059D9">
        <w:rPr>
          <w:rFonts w:ascii="Palatino Linotype" w:hAnsi="Palatino Linotype"/>
          <w:noProof/>
          <w:sz w:val="20"/>
          <w:szCs w:val="20"/>
          <w:lang w:val="en-US"/>
        </w:rPr>
        <w:t>, (30850). Retrieved from http://mpra.ub.uni-muenchen.de/30850/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Khosravi, A., &amp; Karimi, M. S. (2010). To Investigation the Relationship between Monetary, Fiscal Policy and Economic Growth in Iran: Autoregressive Distributed Lag Approach to Cointegration. </w:t>
      </w:r>
      <w:r w:rsidRPr="000059D9">
        <w:rPr>
          <w:rFonts w:ascii="Palatino Linotype" w:hAnsi="Palatino Linotype"/>
          <w:i/>
          <w:iCs/>
          <w:noProof/>
          <w:sz w:val="20"/>
          <w:szCs w:val="20"/>
          <w:lang w:val="en-US"/>
        </w:rPr>
        <w:t>American Journal of Applied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(3), 415–419. http://doi.org/10.3844/ajassp.2010.415.419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Musa, Y., &amp; Asare, B. K. (2013). Long and Short Run Relationship Analysis of Monetary and Fiscal Policy on Economic Growth in Nigeria</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A VEC Model Approach, </w:t>
      </w:r>
      <w:r w:rsidRPr="000059D9">
        <w:rPr>
          <w:rFonts w:ascii="Palatino Linotype" w:hAnsi="Palatino Linotype"/>
          <w:i/>
          <w:iCs/>
          <w:noProof/>
          <w:sz w:val="20"/>
          <w:szCs w:val="20"/>
          <w:lang w:val="en-US"/>
        </w:rPr>
        <w:t>5</w:t>
      </w:r>
      <w:r w:rsidRPr="000059D9">
        <w:rPr>
          <w:rFonts w:ascii="Palatino Linotype" w:hAnsi="Palatino Linotype"/>
          <w:noProof/>
          <w:sz w:val="20"/>
          <w:szCs w:val="20"/>
          <w:lang w:val="en-US"/>
        </w:rPr>
        <w:t>(10), 3044–3051.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Okorie, D. I., Sylvester, M. A., &amp; Simon-peter, D. C. (2017). Relative Effectiveness of Fiscal and Monetary Policies in Nigeria,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(1). http://doi.org/10.20849/ajsss.v2i1.129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Rahman, H. (2004). Relative Effectiveness of Monetary and Fiscal Policies on Output Growth in Bangladesh</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A VAR Approach. </w:t>
      </w:r>
      <w:r w:rsidRPr="000059D9">
        <w:rPr>
          <w:rFonts w:ascii="Palatino Linotype" w:hAnsi="Palatino Linotype"/>
          <w:i/>
          <w:iCs/>
          <w:noProof/>
          <w:sz w:val="20"/>
          <w:szCs w:val="20"/>
          <w:lang w:val="en-US"/>
        </w:rPr>
        <w:t>Bangladesh Journal of Political Economy</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22</w:t>
      </w:r>
      <w:r w:rsidRPr="000059D9">
        <w:rPr>
          <w:rFonts w:ascii="Palatino Linotype" w:hAnsi="Palatino Linotype"/>
          <w:noProof/>
          <w:sz w:val="20"/>
          <w:szCs w:val="20"/>
          <w:lang w:val="en-US"/>
        </w:rPr>
        <w:t>, 419–440.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Rakic, B., &amp; Redenovic, T. (2013). The Effectiveness of Monetary and Fiscal Policy in Serbia. </w:t>
      </w:r>
      <w:r w:rsidRPr="000059D9">
        <w:rPr>
          <w:rFonts w:ascii="Palatino Linotype" w:hAnsi="Palatino Linotype"/>
          <w:i/>
          <w:iCs/>
          <w:noProof/>
          <w:sz w:val="20"/>
          <w:szCs w:val="20"/>
          <w:lang w:val="en-US"/>
        </w:rPr>
        <w:t>Industrija</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41</w:t>
      </w:r>
      <w:r w:rsidRPr="000059D9">
        <w:rPr>
          <w:rFonts w:ascii="Palatino Linotype" w:hAnsi="Palatino Linotype"/>
          <w:noProof/>
          <w:sz w:val="20"/>
          <w:szCs w:val="20"/>
          <w:lang w:val="en-US"/>
        </w:rPr>
        <w:t>(2), 103–122. http://doi.org/10.5937/industrija41-4011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Romer, D. (2011). </w:t>
      </w:r>
      <w:r w:rsidRPr="000059D9">
        <w:rPr>
          <w:rFonts w:ascii="Palatino Linotype" w:hAnsi="Palatino Linotype"/>
          <w:i/>
          <w:iCs/>
          <w:noProof/>
          <w:sz w:val="20"/>
          <w:szCs w:val="20"/>
          <w:lang w:val="en-US"/>
        </w:rPr>
        <w:t>Advanced Macroeconomics</w:t>
      </w:r>
      <w:r w:rsidRPr="000059D9">
        <w:rPr>
          <w:rFonts w:ascii="Palatino Linotype" w:hAnsi="Palatino Linotype"/>
          <w:noProof/>
          <w:sz w:val="20"/>
          <w:szCs w:val="20"/>
          <w:lang w:val="en-US"/>
        </w:rPr>
        <w:t xml:space="preserve"> (4th ed.). New York: MCGraw-Hill.</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Sen, H. &amp; A. K. (2015). </w:t>
      </w:r>
      <w:r w:rsidRPr="000059D9">
        <w:rPr>
          <w:rFonts w:ascii="Palatino Linotype" w:hAnsi="Palatino Linotype"/>
          <w:i/>
          <w:iCs/>
          <w:noProof/>
          <w:sz w:val="20"/>
          <w:szCs w:val="20"/>
          <w:lang w:val="en-US"/>
        </w:rPr>
        <w:t>The Relative Effectiveness of Monetary and Fiscal Policies on Growth: What Does Long-Run SVAR Model Tell Us?</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Senbet, D. (2011). The Relative Impact of Fiscal versus Monetary Actions on Output: A Vector Autoregressive (VAR) Approach. </w:t>
      </w:r>
      <w:r w:rsidRPr="000059D9">
        <w:rPr>
          <w:rFonts w:ascii="Palatino Linotype" w:hAnsi="Palatino Linotype"/>
          <w:i/>
          <w:iCs/>
          <w:noProof/>
          <w:sz w:val="20"/>
          <w:szCs w:val="20"/>
          <w:lang w:val="en-US"/>
        </w:rPr>
        <w:t>Business and Economic Journal</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25</w:t>
      </w:r>
      <w:r w:rsidRPr="000059D9">
        <w:rPr>
          <w:rFonts w:ascii="Palatino Linotype" w:hAnsi="Palatino Linotype"/>
          <w:noProof/>
          <w:sz w:val="20"/>
          <w:szCs w:val="20"/>
          <w:lang w:val="en-US"/>
        </w:rPr>
        <w:t>, 1–11.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Snyder, T. C., &amp; Bruce, D. (2011). Tax Cuts and Interest Rate Cuts: An Empirical Comparison of The Effectiveness of Fscal and Monetary Policy. </w:t>
      </w:r>
      <w:r w:rsidRPr="000059D9">
        <w:rPr>
          <w:rFonts w:ascii="Palatino Linotype" w:hAnsi="Palatino Linotype"/>
          <w:i/>
          <w:iCs/>
          <w:noProof/>
          <w:sz w:val="20"/>
          <w:szCs w:val="20"/>
          <w:lang w:val="en-US"/>
        </w:rPr>
        <w:t>Journal of Business &amp; Economics Research</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(8), 1–12.</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Weeks, J. (2008). The Effectiveness of Monetary Policy Reconsidered. </w:t>
      </w:r>
      <w:r w:rsidRPr="000059D9">
        <w:rPr>
          <w:rFonts w:ascii="Palatino Linotype" w:hAnsi="Palatino Linotype"/>
          <w:i/>
          <w:iCs/>
          <w:noProof/>
          <w:sz w:val="20"/>
          <w:szCs w:val="20"/>
          <w:lang w:val="en-US"/>
        </w:rPr>
        <w:t>Centre for Development Policy and Research, School of Oriental and African Studies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(3), 1–20.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Younus, S. (2008). </w:t>
      </w:r>
      <w:r w:rsidRPr="000059D9">
        <w:rPr>
          <w:rFonts w:ascii="Palatino Linotype" w:hAnsi="Palatino Linotype"/>
          <w:i/>
          <w:iCs/>
          <w:noProof/>
          <w:sz w:val="20"/>
          <w:szCs w:val="20"/>
          <w:lang w:val="en-US"/>
        </w:rPr>
        <w:t>Relative Effectiveness of Monetary and Fiscal Policies on Output Growth in Bangladesh: A Co integration and Vector Error Correction Approach</w:t>
      </w:r>
      <w:r w:rsidRPr="000059D9">
        <w:rPr>
          <w:rFonts w:ascii="Palatino Linotype" w:hAnsi="Palatino Linotype"/>
          <w:noProof/>
          <w:sz w:val="20"/>
          <w:szCs w:val="20"/>
          <w:lang w:val="en-US"/>
        </w:rPr>
        <w:t>.</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Yunanto, M., &amp; Medyawati, H. (2014). Monetary and Fiscal Policy Analysis</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Which is More Effective? </w:t>
      </w:r>
      <w:r w:rsidRPr="000059D9">
        <w:rPr>
          <w:rFonts w:ascii="Palatino Linotype" w:hAnsi="Palatino Linotype"/>
          <w:i/>
          <w:iCs/>
          <w:noProof/>
          <w:sz w:val="20"/>
          <w:szCs w:val="20"/>
          <w:lang w:val="en-US"/>
        </w:rPr>
        <w:t>Journal of Indonesian Economy and Business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29</w:t>
      </w:r>
      <w:r w:rsidRPr="000059D9">
        <w:rPr>
          <w:rFonts w:ascii="Palatino Linotype" w:hAnsi="Palatino Linotype"/>
          <w:noProof/>
          <w:sz w:val="20"/>
          <w:szCs w:val="20"/>
          <w:lang w:val="en-US"/>
        </w:rPr>
        <w:t>(3), 222–236.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fldChar w:fldCharType="end"/>
      </w:r>
      <w:r w:rsidRPr="000059D9">
        <w:rPr>
          <w:rFonts w:ascii="Palatino Linotype" w:hAnsi="Palatino Linotype"/>
          <w:sz w:val="20"/>
          <w:szCs w:val="20"/>
          <w:lang w:val="en-US"/>
        </w:rPr>
        <w:fldChar w:fldCharType="begin" w:fldLock="1"/>
      </w:r>
      <w:r w:rsidRPr="000059D9">
        <w:rPr>
          <w:rFonts w:ascii="Palatino Linotype" w:hAnsi="Palatino Linotype"/>
          <w:sz w:val="20"/>
          <w:szCs w:val="20"/>
          <w:lang w:val="en-US"/>
        </w:rPr>
        <w:instrText xml:space="preserve">ADDIN Mendeley Bibliography CSL_BIBLIOGRAPHY </w:instrText>
      </w:r>
      <w:r w:rsidRPr="000059D9">
        <w:rPr>
          <w:rFonts w:ascii="Palatino Linotype" w:hAnsi="Palatino Linotype"/>
          <w:sz w:val="20"/>
          <w:szCs w:val="20"/>
          <w:lang w:val="en-US"/>
        </w:rPr>
        <w:fldChar w:fldCharType="separate"/>
      </w:r>
      <w:r w:rsidRPr="000059D9">
        <w:rPr>
          <w:rFonts w:ascii="Palatino Linotype" w:hAnsi="Palatino Linotype"/>
          <w:noProof/>
          <w:sz w:val="20"/>
          <w:szCs w:val="20"/>
          <w:lang w:val="en-US"/>
        </w:rPr>
        <w:t xml:space="preserve">Abata, M. A., Kehinde, J. S., &amp; Bolarinwa, S. A. (2012). Fiscal/Monetary Policy and Economic Growth in Nigeria: A Theoretical Exploration. </w:t>
      </w:r>
      <w:r w:rsidRPr="000059D9">
        <w:rPr>
          <w:rFonts w:ascii="Palatino Linotype" w:hAnsi="Palatino Linotype"/>
          <w:i/>
          <w:iCs/>
          <w:noProof/>
          <w:sz w:val="20"/>
          <w:szCs w:val="20"/>
          <w:lang w:val="en-US"/>
        </w:rPr>
        <w:t>International Journal of Academic Research in Economics and Management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1</w:t>
      </w:r>
      <w:r w:rsidRPr="000059D9">
        <w:rPr>
          <w:rFonts w:ascii="Palatino Linotype" w:hAnsi="Palatino Linotype"/>
          <w:noProof/>
          <w:sz w:val="20"/>
          <w:szCs w:val="20"/>
          <w:lang w:val="en-US"/>
        </w:rPr>
        <w:t>(5), 75–88.</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Adefeso, H.A, &amp; H. . M. (2010). Adefeso. 2010. The Fiscal and Monetary Policy on Economi Growth in Nigeria.pdf. </w:t>
      </w:r>
      <w:r w:rsidRPr="000059D9">
        <w:rPr>
          <w:rFonts w:ascii="Palatino Linotype" w:hAnsi="Palatino Linotype"/>
          <w:i/>
          <w:iCs/>
          <w:noProof/>
          <w:sz w:val="20"/>
          <w:szCs w:val="20"/>
          <w:lang w:val="en-US"/>
        </w:rPr>
        <w:t>Pakistan Journal of Social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 137–142.</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Ajayi, S. I. (1974). An Econometric Case Study of the Relative Importance of Monetary and Fiscal policy in Nigeria. </w:t>
      </w:r>
      <w:r w:rsidRPr="000059D9">
        <w:rPr>
          <w:rFonts w:ascii="Palatino Linotype" w:hAnsi="Palatino Linotype"/>
          <w:i/>
          <w:iCs/>
          <w:noProof/>
          <w:sz w:val="20"/>
          <w:szCs w:val="20"/>
          <w:lang w:val="en-US"/>
        </w:rPr>
        <w:t>The Bangladesh Economic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(2), 559–576.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Ajisafe, R. A., &amp; Folorunso, B. A. (2002). The Relative Effectiveness of Fiscal and Monetary Policy in Macroeconomic Management in Nigeria. </w:t>
      </w:r>
      <w:r w:rsidRPr="000059D9">
        <w:rPr>
          <w:rFonts w:ascii="Palatino Linotype" w:hAnsi="Palatino Linotype"/>
          <w:i/>
          <w:iCs/>
          <w:noProof/>
          <w:sz w:val="20"/>
          <w:szCs w:val="20"/>
          <w:lang w:val="en-US"/>
        </w:rPr>
        <w:t>The African Economic and Business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(1), 23–40.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Ali, S. I. S., &amp; A, A. (2008). Whether Fiscal Stance or Monetary Policy is Effective for Economic Growth in Case of South Asian Countries. </w:t>
      </w:r>
      <w:r w:rsidRPr="000059D9">
        <w:rPr>
          <w:rFonts w:ascii="Palatino Linotype" w:hAnsi="Palatino Linotype"/>
          <w:i/>
          <w:iCs/>
          <w:noProof/>
          <w:sz w:val="20"/>
          <w:szCs w:val="20"/>
          <w:lang w:val="en-US"/>
        </w:rPr>
        <w:t>The Pakistan Development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47</w:t>
      </w:r>
      <w:r w:rsidRPr="000059D9">
        <w:rPr>
          <w:rFonts w:ascii="Palatino Linotype" w:hAnsi="Palatino Linotype"/>
          <w:noProof/>
          <w:sz w:val="20"/>
          <w:szCs w:val="20"/>
          <w:lang w:val="en-US"/>
        </w:rPr>
        <w:t>(4), 791–799.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Ansari, M. I. (1996). Monetary vs. Fiscal Policy: Some Evidence from Vector Autoregression for India. </w:t>
      </w:r>
      <w:r w:rsidRPr="000059D9">
        <w:rPr>
          <w:rFonts w:ascii="Palatino Linotype" w:hAnsi="Palatino Linotype"/>
          <w:i/>
          <w:iCs/>
          <w:noProof/>
          <w:sz w:val="20"/>
          <w:szCs w:val="20"/>
          <w:lang w:val="en-US"/>
        </w:rPr>
        <w:t>Journal of Asian Economics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(4), 677–698. http://doi.org/10.1016/S1049-0078(96)90061-5</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Chowdhury, A. (1986a). Monetary and Fiscal Impacts on Economic Activities in Bangladesh: A Note. </w:t>
      </w:r>
      <w:r w:rsidRPr="000059D9">
        <w:rPr>
          <w:rFonts w:ascii="Palatino Linotype" w:hAnsi="Palatino Linotype"/>
          <w:i/>
          <w:iCs/>
          <w:noProof/>
          <w:sz w:val="20"/>
          <w:szCs w:val="20"/>
          <w:lang w:val="en-US"/>
        </w:rPr>
        <w:t>The Bangladesh Development Studies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14</w:t>
      </w:r>
      <w:r w:rsidRPr="000059D9">
        <w:rPr>
          <w:rFonts w:ascii="Palatino Linotype" w:hAnsi="Palatino Linotype"/>
          <w:noProof/>
          <w:sz w:val="20"/>
          <w:szCs w:val="20"/>
          <w:lang w:val="en-US"/>
        </w:rPr>
        <w:t>(1), 149–154.</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Chowdhury, A. (1986b). Monetary Policy , Fiscal Policy , and Aggregate Economic Activity in Korea. </w:t>
      </w:r>
      <w:r w:rsidRPr="000059D9">
        <w:rPr>
          <w:rFonts w:ascii="Palatino Linotype" w:hAnsi="Palatino Linotype"/>
          <w:i/>
          <w:iCs/>
          <w:noProof/>
          <w:sz w:val="20"/>
          <w:szCs w:val="20"/>
          <w:lang w:val="en-US"/>
        </w:rPr>
        <w:t>Asian Economies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58</w:t>
      </w:r>
      <w:r w:rsidRPr="000059D9">
        <w:rPr>
          <w:rFonts w:ascii="Palatino Linotype" w:hAnsi="Palatino Linotype"/>
          <w:noProof/>
          <w:sz w:val="20"/>
          <w:szCs w:val="20"/>
          <w:lang w:val="en-US"/>
        </w:rPr>
        <w:t>(September), 47–57.</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Cyrus, M. (2014). Monetary and Fiscal Policy Shocks and Economic Growth in Kenya</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VAR Econometric Approach,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(6), 95–108. http://doi.org/10.11648/j.jwer.20140306.14</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eastAsia="BatangChe" w:hAnsi="Palatino Linotype"/>
          <w:sz w:val="20"/>
          <w:szCs w:val="20"/>
          <w:lang w:val="en-US"/>
        </w:rPr>
        <w:t xml:space="preserve">Darsono. (2008). Analisis Keefektifian Fiscal Policy Terhadap Kinerja Sektor Pertanian dengan Penekanan pada Agroindustri di Indonesia. </w:t>
      </w:r>
      <w:r w:rsidRPr="000059D9">
        <w:rPr>
          <w:rFonts w:ascii="Palatino Linotype" w:eastAsia="BatangChe" w:hAnsi="Palatino Linotype"/>
          <w:i/>
          <w:sz w:val="20"/>
          <w:szCs w:val="20"/>
          <w:lang w:val="en-US"/>
        </w:rPr>
        <w:t>Disertasi</w:t>
      </w:r>
      <w:r w:rsidRPr="000059D9">
        <w:rPr>
          <w:rFonts w:ascii="Palatino Linotype" w:eastAsia="BatangChe" w:hAnsi="Palatino Linotype"/>
          <w:sz w:val="20"/>
          <w:szCs w:val="20"/>
          <w:lang w:val="en-US"/>
        </w:rPr>
        <w:t xml:space="preserve">. Sekolah Pascasarjana Institut Pertanian </w:t>
      </w:r>
      <w:r w:rsidRPr="000059D9">
        <w:rPr>
          <w:rFonts w:ascii="Palatino Linotype" w:eastAsia="BatangChe" w:hAnsi="Palatino Linotype"/>
          <w:sz w:val="20"/>
          <w:szCs w:val="20"/>
          <w:lang w:val="en-US"/>
        </w:rPr>
        <w:lastRenderedPageBreak/>
        <w:t>Bogor.</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Fatima, A., &amp; Iqbal, A. (2003). The Relative Effectiveness of Monetary and Fiscal Policies An Econometric Study. </w:t>
      </w:r>
      <w:r w:rsidRPr="000059D9">
        <w:rPr>
          <w:rFonts w:ascii="Palatino Linotype" w:hAnsi="Palatino Linotype"/>
          <w:i/>
          <w:iCs/>
          <w:noProof/>
          <w:sz w:val="20"/>
          <w:szCs w:val="20"/>
          <w:lang w:val="en-US"/>
        </w:rPr>
        <w:t>Pakistan Economic and Social Review</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XLI</w:t>
      </w:r>
      <w:r w:rsidRPr="000059D9">
        <w:rPr>
          <w:rFonts w:ascii="Palatino Linotype" w:hAnsi="Palatino Linotype"/>
          <w:noProof/>
          <w:sz w:val="20"/>
          <w:szCs w:val="20"/>
          <w:lang w:val="en-US"/>
        </w:rPr>
        <w:t>(1&amp;2), 93–116.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Fetai, B. (2013). The Effectiveness of Fiscal and Monetary Policy During the Financial Crisis, </w:t>
      </w:r>
      <w:r w:rsidRPr="000059D9">
        <w:rPr>
          <w:rFonts w:ascii="Palatino Linotype" w:hAnsi="Palatino Linotype"/>
          <w:i/>
          <w:iCs/>
          <w:noProof/>
          <w:sz w:val="20"/>
          <w:szCs w:val="20"/>
          <w:lang w:val="en-US"/>
        </w:rPr>
        <w:t>XVI</w:t>
      </w:r>
      <w:r w:rsidRPr="000059D9">
        <w:rPr>
          <w:rFonts w:ascii="Palatino Linotype" w:hAnsi="Palatino Linotype"/>
          <w:noProof/>
          <w:sz w:val="20"/>
          <w:szCs w:val="20"/>
          <w:lang w:val="en-US"/>
        </w:rPr>
        <w:t>(2), 53–66.</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Jawaid, S. T., Arif, I., &amp; Naeemullah, S. M. (2010). Comparative Analysis of Monetary and Fiscal Policy: A Case Study of Pakistan. </w:t>
      </w:r>
      <w:r w:rsidRPr="000059D9">
        <w:rPr>
          <w:rFonts w:ascii="Palatino Linotype" w:hAnsi="Palatino Linotype"/>
          <w:i/>
          <w:iCs/>
          <w:noProof/>
          <w:sz w:val="20"/>
          <w:szCs w:val="20"/>
          <w:lang w:val="en-US"/>
        </w:rPr>
        <w:t>MPRA Paper No. 30850</w:t>
      </w:r>
      <w:r w:rsidRPr="000059D9">
        <w:rPr>
          <w:rFonts w:ascii="Palatino Linotype" w:hAnsi="Palatino Linotype"/>
          <w:noProof/>
          <w:sz w:val="20"/>
          <w:szCs w:val="20"/>
          <w:lang w:val="en-US"/>
        </w:rPr>
        <w:t>, (30850). Retrieved from http://mpra.ub.uni-muenchen.de/30850/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Khosravi, A., &amp; Karimi, M. S. (2010). To Investigation the Relationship between Monetary, Fiscal Policy and Economic Growth in Iran: Autoregressive Distributed Lag Approach to Cointegration. </w:t>
      </w:r>
      <w:r w:rsidRPr="000059D9">
        <w:rPr>
          <w:rFonts w:ascii="Palatino Linotype" w:hAnsi="Palatino Linotype"/>
          <w:i/>
          <w:iCs/>
          <w:noProof/>
          <w:sz w:val="20"/>
          <w:szCs w:val="20"/>
          <w:lang w:val="en-US"/>
        </w:rPr>
        <w:t>American Journal of Applied Sciences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7</w:t>
      </w:r>
      <w:r w:rsidRPr="000059D9">
        <w:rPr>
          <w:rFonts w:ascii="Palatino Linotype" w:hAnsi="Palatino Linotype"/>
          <w:noProof/>
          <w:sz w:val="20"/>
          <w:szCs w:val="20"/>
          <w:lang w:val="en-US"/>
        </w:rPr>
        <w:t>(3), 415–419. http://doi.org/10.3844/ajassp.2010.415.419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t>Leeper, Eric M.. (1991). “Equilibria under ‘Active’ and ‘Passive’ Monetary and</w:t>
      </w:r>
      <w:r w:rsidRPr="000059D9">
        <w:rPr>
          <w:rFonts w:ascii="Palatino Linotype" w:hAnsi="Palatino Linotype"/>
          <w:noProof/>
          <w:sz w:val="20"/>
          <w:szCs w:val="20"/>
          <w:lang w:val="en-US"/>
        </w:rPr>
        <w:t xml:space="preserve"> </w:t>
      </w:r>
      <w:r w:rsidRPr="000059D9">
        <w:rPr>
          <w:rFonts w:ascii="Palatino Linotype" w:hAnsi="Palatino Linotype"/>
          <w:sz w:val="20"/>
          <w:szCs w:val="20"/>
          <w:lang w:val="en-US"/>
        </w:rPr>
        <w:t xml:space="preserve">Fiscal Policies,” </w:t>
      </w:r>
      <w:r w:rsidRPr="000059D9">
        <w:rPr>
          <w:rFonts w:ascii="Palatino Linotype" w:hAnsi="Palatino Linotype"/>
          <w:i/>
          <w:sz w:val="20"/>
          <w:szCs w:val="20"/>
          <w:lang w:val="en-US"/>
        </w:rPr>
        <w:t>Journal of Monetary Economics</w:t>
      </w:r>
      <w:r w:rsidRPr="000059D9">
        <w:rPr>
          <w:rFonts w:ascii="Palatino Linotype" w:hAnsi="Palatino Linotype"/>
          <w:sz w:val="20"/>
          <w:szCs w:val="20"/>
          <w:lang w:val="en-US"/>
        </w:rPr>
        <w:t>.27.</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t xml:space="preserve">Mankiw, N. (2006). </w:t>
      </w:r>
      <w:r w:rsidRPr="000059D9">
        <w:rPr>
          <w:rFonts w:ascii="Palatino Linotype" w:hAnsi="Palatino Linotype"/>
          <w:i/>
          <w:iCs/>
          <w:sz w:val="20"/>
          <w:szCs w:val="20"/>
          <w:lang w:val="en-US"/>
        </w:rPr>
        <w:t>Macroeconomics</w:t>
      </w:r>
      <w:r w:rsidRPr="000059D9">
        <w:rPr>
          <w:rFonts w:ascii="Palatino Linotype" w:hAnsi="Palatino Linotype"/>
          <w:sz w:val="20"/>
          <w:szCs w:val="20"/>
          <w:lang w:val="en-US"/>
        </w:rPr>
        <w:t>, sixth edition, Worth Publishers: New York</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Musa, Y., &amp; Asare, B. K. (2013). Long and Short Run Relationship Analysis of Monetary and Fiscal Policy on Economic Growth in Nigeria</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A VEC Model Approach, </w:t>
      </w:r>
      <w:r w:rsidRPr="000059D9">
        <w:rPr>
          <w:rFonts w:ascii="Palatino Linotype" w:hAnsi="Palatino Linotype"/>
          <w:i/>
          <w:iCs/>
          <w:noProof/>
          <w:sz w:val="20"/>
          <w:szCs w:val="20"/>
          <w:lang w:val="en-US"/>
        </w:rPr>
        <w:t>5</w:t>
      </w:r>
      <w:r w:rsidRPr="000059D9">
        <w:rPr>
          <w:rFonts w:ascii="Palatino Linotype" w:hAnsi="Palatino Linotype"/>
          <w:noProof/>
          <w:sz w:val="20"/>
          <w:szCs w:val="20"/>
          <w:lang w:val="en-US"/>
        </w:rPr>
        <w:t>(10), 3044–3051.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eastAsia="Times New Roman" w:hAnsi="Palatino Linotype"/>
          <w:noProof/>
          <w:sz w:val="20"/>
          <w:szCs w:val="20"/>
          <w:lang w:val="en-US"/>
        </w:rPr>
        <w:t xml:space="preserve">Nuryati, Y., Siregar, H., &amp; Ratnawati, A. (2006). Dampak Kebijakan Inflation Targeting Terhadap Beberapa Variabel Makroekonomi Di Indonesia. </w:t>
      </w:r>
      <w:r w:rsidRPr="000059D9">
        <w:rPr>
          <w:rFonts w:ascii="Palatino Linotype" w:eastAsia="Times New Roman" w:hAnsi="Palatino Linotype"/>
          <w:i/>
          <w:iCs/>
          <w:noProof/>
          <w:sz w:val="20"/>
          <w:szCs w:val="20"/>
          <w:lang w:val="en-US"/>
        </w:rPr>
        <w:t>Buletin Ekonomi Moneter dan Moneter</w:t>
      </w:r>
      <w:r w:rsidRPr="000059D9">
        <w:rPr>
          <w:rFonts w:ascii="Palatino Linotype" w:eastAsia="Times New Roman" w:hAnsi="Palatino Linotype"/>
          <w:noProof/>
          <w:sz w:val="20"/>
          <w:szCs w:val="20"/>
          <w:lang w:val="en-US"/>
        </w:rPr>
        <w:t>, 113–134.</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Okorie, D. I., Sylvester, M. A., &amp; Simon-peter, D. C. (2017). Relative Effectiveness of Fiscal and Monetary Policies in Nigeria,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(1). http://doi.org/10.20849/ajsss.v2i1.129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Rahman, H. (2004). Relative Effectiveness of Monetary and Fiscal Policies on Output Growth in Bangladesh</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A VAR Approach. </w:t>
      </w:r>
      <w:r w:rsidRPr="000059D9">
        <w:rPr>
          <w:rFonts w:ascii="Palatino Linotype" w:hAnsi="Palatino Linotype"/>
          <w:i/>
          <w:iCs/>
          <w:noProof/>
          <w:sz w:val="20"/>
          <w:szCs w:val="20"/>
          <w:lang w:val="en-US"/>
        </w:rPr>
        <w:t>Bangladesh Journal of Political Economy</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22</w:t>
      </w:r>
      <w:r w:rsidRPr="000059D9">
        <w:rPr>
          <w:rFonts w:ascii="Palatino Linotype" w:hAnsi="Palatino Linotype"/>
          <w:noProof/>
          <w:sz w:val="20"/>
          <w:szCs w:val="20"/>
          <w:lang w:val="en-US"/>
        </w:rPr>
        <w:t>, 419–440.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Rakic, B., &amp; Redenovic, T. (2013). The Effectiveness of Monetary and Fiscal Policy in Serbia. </w:t>
      </w:r>
      <w:r w:rsidRPr="000059D9">
        <w:rPr>
          <w:rFonts w:ascii="Palatino Linotype" w:hAnsi="Palatino Linotype"/>
          <w:i/>
          <w:iCs/>
          <w:noProof/>
          <w:sz w:val="20"/>
          <w:szCs w:val="20"/>
          <w:lang w:val="en-US"/>
        </w:rPr>
        <w:t>Industrija</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41</w:t>
      </w:r>
      <w:r w:rsidRPr="000059D9">
        <w:rPr>
          <w:rFonts w:ascii="Palatino Linotype" w:hAnsi="Palatino Linotype"/>
          <w:noProof/>
          <w:sz w:val="20"/>
          <w:szCs w:val="20"/>
          <w:lang w:val="en-US"/>
        </w:rPr>
        <w:t>(2), 103–122. http://doi.org/10.5937/industrija41-4011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Romer, D. (2011). </w:t>
      </w:r>
      <w:r w:rsidRPr="000059D9">
        <w:rPr>
          <w:rFonts w:ascii="Palatino Linotype" w:hAnsi="Palatino Linotype"/>
          <w:i/>
          <w:iCs/>
          <w:noProof/>
          <w:sz w:val="20"/>
          <w:szCs w:val="20"/>
          <w:lang w:val="en-US"/>
        </w:rPr>
        <w:t>Advanced Macroeconomics</w:t>
      </w:r>
      <w:r w:rsidRPr="000059D9">
        <w:rPr>
          <w:rFonts w:ascii="Palatino Linotype" w:hAnsi="Palatino Linotype"/>
          <w:noProof/>
          <w:sz w:val="20"/>
          <w:szCs w:val="20"/>
          <w:lang w:val="en-US"/>
        </w:rPr>
        <w:t xml:space="preserve"> (4th ed.). New York: MCGraw-Hill.</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t>Sargent, T. J., dan N. Wallace. (1981). “Some Unpleasant Monetary Arithmetic,”</w:t>
      </w:r>
      <w:r w:rsidRPr="000059D9">
        <w:rPr>
          <w:rFonts w:ascii="Palatino Linotype" w:hAnsi="Palatino Linotype"/>
          <w:noProof/>
          <w:sz w:val="20"/>
          <w:szCs w:val="20"/>
          <w:lang w:val="en-US"/>
        </w:rPr>
        <w:t xml:space="preserve"> </w:t>
      </w:r>
      <w:r w:rsidRPr="000059D9">
        <w:rPr>
          <w:rFonts w:ascii="Palatino Linotype" w:hAnsi="Palatino Linotype"/>
          <w:sz w:val="20"/>
          <w:szCs w:val="20"/>
          <w:lang w:val="en-US"/>
        </w:rPr>
        <w:t>Quarterly Review (Fall), Federal Reserve Bank of Minneapolis, pp. 1- 17.</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Sen, H. &amp; A. K. (2015). </w:t>
      </w:r>
      <w:r w:rsidRPr="000059D9">
        <w:rPr>
          <w:rFonts w:ascii="Palatino Linotype" w:hAnsi="Palatino Linotype"/>
          <w:i/>
          <w:iCs/>
          <w:noProof/>
          <w:sz w:val="20"/>
          <w:szCs w:val="20"/>
          <w:lang w:val="en-US"/>
        </w:rPr>
        <w:t>The Relative Effectiveness of Monetary and Fiscal Policies on Growth: What Does Long-Run SVAR Model Tell Us?</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Senbet, D. (2011). The Relative Impact of Fiscal versus Monetary Actions on Output: A Vector Autoregressive (VAR) Approach. </w:t>
      </w:r>
      <w:r w:rsidRPr="000059D9">
        <w:rPr>
          <w:rFonts w:ascii="Palatino Linotype" w:hAnsi="Palatino Linotype"/>
          <w:i/>
          <w:iCs/>
          <w:noProof/>
          <w:sz w:val="20"/>
          <w:szCs w:val="20"/>
          <w:lang w:val="en-US"/>
        </w:rPr>
        <w:t>Business and Economic Journal</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25</w:t>
      </w:r>
      <w:r w:rsidRPr="000059D9">
        <w:rPr>
          <w:rFonts w:ascii="Palatino Linotype" w:hAnsi="Palatino Linotype"/>
          <w:noProof/>
          <w:sz w:val="20"/>
          <w:szCs w:val="20"/>
          <w:lang w:val="en-US"/>
        </w:rPr>
        <w:t>, 1–11.</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sz w:val="20"/>
          <w:szCs w:val="20"/>
          <w:lang w:val="en-US"/>
        </w:rPr>
      </w:pPr>
      <w:r w:rsidRPr="000059D9">
        <w:rPr>
          <w:rFonts w:ascii="Palatino Linotype" w:hAnsi="Palatino Linotype"/>
          <w:sz w:val="20"/>
          <w:szCs w:val="20"/>
          <w:lang w:val="en-US"/>
        </w:rPr>
        <w:t>Sims, Christopher A. (1994), “A Simple Model for the Study of the Determination of the Price Level and the Interaction of Monetary and Fiscal Policy,” Economic Theory 4, pp. 381- 399.</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Snyder, T. C., &amp; Bruce, D. (2011). Tax Cuts and Interest Rate Cuts: An Empirical Comparison of The Effectiveness of Fscal and Monetary Policy. </w:t>
      </w:r>
      <w:r w:rsidRPr="000059D9">
        <w:rPr>
          <w:rFonts w:ascii="Palatino Linotype" w:hAnsi="Palatino Linotype"/>
          <w:i/>
          <w:iCs/>
          <w:noProof/>
          <w:sz w:val="20"/>
          <w:szCs w:val="20"/>
          <w:lang w:val="en-US"/>
        </w:rPr>
        <w:t>Journal of Business &amp; Economics Research</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w:t>
      </w:r>
      <w:r w:rsidRPr="000059D9">
        <w:rPr>
          <w:rFonts w:ascii="Palatino Linotype" w:hAnsi="Palatino Linotype"/>
          <w:noProof/>
          <w:sz w:val="20"/>
          <w:szCs w:val="20"/>
          <w:lang w:val="en-US"/>
        </w:rPr>
        <w:t>(8), 1–12.</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sz w:val="20"/>
          <w:szCs w:val="20"/>
          <w:lang w:val="en-US"/>
        </w:rPr>
        <w:t>Woodford, M. (1994). “Monetary Policy and Price Level Determinacy in a Cash-in-</w:t>
      </w:r>
      <w:r w:rsidRPr="000059D9">
        <w:rPr>
          <w:rFonts w:ascii="Palatino Linotype" w:hAnsi="Palatino Linotype"/>
          <w:noProof/>
          <w:sz w:val="20"/>
          <w:szCs w:val="20"/>
          <w:lang w:val="en-US"/>
        </w:rPr>
        <w:t xml:space="preserve"> </w:t>
      </w:r>
      <w:r w:rsidRPr="000059D9">
        <w:rPr>
          <w:rFonts w:ascii="Palatino Linotype" w:hAnsi="Palatino Linotype"/>
          <w:sz w:val="20"/>
          <w:szCs w:val="20"/>
          <w:lang w:val="en-US"/>
        </w:rPr>
        <w:t>Advance Economy” Economic Theory 4, pp. 345-380.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Weeks, J. (2008). The Effectiveness of Monetary Policy Reconsidered. </w:t>
      </w:r>
      <w:r w:rsidRPr="000059D9">
        <w:rPr>
          <w:rFonts w:ascii="Palatino Linotype" w:hAnsi="Palatino Linotype"/>
          <w:i/>
          <w:iCs/>
          <w:noProof/>
          <w:sz w:val="20"/>
          <w:szCs w:val="20"/>
          <w:lang w:val="en-US"/>
        </w:rPr>
        <w:t>Centre for Development Policy and Research, School of Oriental and African Studies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3</w:t>
      </w:r>
      <w:r w:rsidRPr="000059D9">
        <w:rPr>
          <w:rFonts w:ascii="Palatino Linotype" w:hAnsi="Palatino Linotype"/>
          <w:noProof/>
          <w:sz w:val="20"/>
          <w:szCs w:val="20"/>
          <w:lang w:val="en-US"/>
        </w:rPr>
        <w:t>(3), 1–20.</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 xml:space="preserve">Younus, S. (2008). </w:t>
      </w:r>
      <w:r w:rsidRPr="000059D9">
        <w:rPr>
          <w:rFonts w:ascii="Palatino Linotype" w:hAnsi="Palatino Linotype"/>
          <w:i/>
          <w:iCs/>
          <w:noProof/>
          <w:sz w:val="20"/>
          <w:szCs w:val="20"/>
          <w:lang w:val="en-US"/>
        </w:rPr>
        <w:t>Relative Effectiveness of Monetary and Fiscal Policies on Output Growth in Bangladesh: A Co integration and Vector Error Correction Approach</w:t>
      </w:r>
      <w:r w:rsidRPr="000059D9">
        <w:rPr>
          <w:rFonts w:ascii="Palatino Linotype" w:hAnsi="Palatino Linotype"/>
          <w:noProof/>
          <w:sz w:val="20"/>
          <w:szCs w:val="20"/>
          <w:lang w:val="en-US"/>
        </w:rPr>
        <w:t>.</w:t>
      </w:r>
    </w:p>
    <w:p w:rsidR="000059D9" w:rsidRPr="000059D9" w:rsidRDefault="000059D9" w:rsidP="000059D9">
      <w:pPr>
        <w:widowControl w:val="0"/>
        <w:autoSpaceDE w:val="0"/>
        <w:autoSpaceDN w:val="0"/>
        <w:adjustRightInd w:val="0"/>
        <w:spacing w:after="0" w:line="240" w:lineRule="auto"/>
        <w:ind w:left="480" w:hanging="480"/>
        <w:jc w:val="both"/>
        <w:rPr>
          <w:rFonts w:ascii="Palatino Linotype" w:hAnsi="Palatino Linotype"/>
          <w:noProof/>
          <w:sz w:val="20"/>
          <w:szCs w:val="20"/>
          <w:lang w:val="en-US"/>
        </w:rPr>
      </w:pPr>
      <w:r w:rsidRPr="000059D9">
        <w:rPr>
          <w:rFonts w:ascii="Palatino Linotype" w:hAnsi="Palatino Linotype"/>
          <w:noProof/>
          <w:sz w:val="20"/>
          <w:szCs w:val="20"/>
          <w:lang w:val="en-US"/>
        </w:rPr>
        <w:t>Yunanto, M., &amp; Medyawati, H. (2014). Monetary and Fiscal Policy Analysis</w:t>
      </w:r>
      <w:r w:rsidRPr="000059D9">
        <w:rPr>
          <w:rFonts w:ascii="Times New Roman" w:hAnsi="Times New Roman"/>
          <w:noProof/>
          <w:sz w:val="20"/>
          <w:szCs w:val="20"/>
          <w:lang w:val="en-US"/>
        </w:rPr>
        <w:t> </w:t>
      </w:r>
      <w:r w:rsidRPr="000059D9">
        <w:rPr>
          <w:rFonts w:ascii="Palatino Linotype" w:hAnsi="Palatino Linotype"/>
          <w:noProof/>
          <w:sz w:val="20"/>
          <w:szCs w:val="20"/>
          <w:lang w:val="en-US"/>
        </w:rPr>
        <w:t xml:space="preserve">: Which is More Effective? </w:t>
      </w:r>
      <w:r w:rsidRPr="000059D9">
        <w:rPr>
          <w:rFonts w:ascii="Palatino Linotype" w:hAnsi="Palatino Linotype"/>
          <w:i/>
          <w:iCs/>
          <w:noProof/>
          <w:sz w:val="20"/>
          <w:szCs w:val="20"/>
          <w:lang w:val="en-US"/>
        </w:rPr>
        <w:t>Journal of Indonesian Economy and Business</w:t>
      </w:r>
      <w:r w:rsidRPr="000059D9">
        <w:rPr>
          <w:rFonts w:ascii="Palatino Linotype" w:hAnsi="Palatino Linotype"/>
          <w:noProof/>
          <w:sz w:val="20"/>
          <w:szCs w:val="20"/>
          <w:lang w:val="en-US"/>
        </w:rPr>
        <w:t xml:space="preserve">, </w:t>
      </w:r>
      <w:r w:rsidRPr="000059D9">
        <w:rPr>
          <w:rFonts w:ascii="Palatino Linotype" w:hAnsi="Palatino Linotype"/>
          <w:i/>
          <w:iCs/>
          <w:noProof/>
          <w:sz w:val="20"/>
          <w:szCs w:val="20"/>
          <w:lang w:val="en-US"/>
        </w:rPr>
        <w:t>29</w:t>
      </w:r>
      <w:r w:rsidRPr="000059D9">
        <w:rPr>
          <w:rFonts w:ascii="Palatino Linotype" w:hAnsi="Palatino Linotype"/>
          <w:noProof/>
          <w:sz w:val="20"/>
          <w:szCs w:val="20"/>
          <w:lang w:val="en-US"/>
        </w:rPr>
        <w:t>(3), 222–236.</w:t>
      </w:r>
    </w:p>
    <w:p w:rsidR="00077E67" w:rsidRDefault="000059D9" w:rsidP="000059D9">
      <w:pPr>
        <w:spacing w:after="120" w:line="240" w:lineRule="auto"/>
        <w:jc w:val="both"/>
        <w:rPr>
          <w:rFonts w:ascii="Palatino Linotype" w:hAnsi="Palatino Linotype" w:cstheme="minorHAnsi"/>
          <w:sz w:val="18"/>
        </w:rPr>
      </w:pPr>
      <w:r w:rsidRPr="005F6785">
        <w:rPr>
          <w:rFonts w:ascii="Palatino Linotype" w:hAnsi="Palatino Linotype"/>
          <w:sz w:val="20"/>
          <w:szCs w:val="20"/>
          <w:lang w:val="en-US"/>
        </w:rPr>
        <w:fldChar w:fldCharType="end"/>
      </w:r>
    </w:p>
    <w:sectPr w:rsidR="00077E67" w:rsidSect="00997DBE">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D6" w:rsidRDefault="00AA7AD6">
      <w:pPr>
        <w:spacing w:after="0" w:line="240" w:lineRule="auto"/>
      </w:pPr>
      <w:r>
        <w:separator/>
      </w:r>
    </w:p>
  </w:endnote>
  <w:endnote w:type="continuationSeparator" w:id="1">
    <w:p w:rsidR="00AA7AD6" w:rsidRDefault="00AA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Adobe Myungjo Std M">
    <w:altName w:val="Arial Unicode MS"/>
    <w:charset w:val="80"/>
    <w:family w:val="roman"/>
    <w:pitch w:val="default"/>
    <w:sig w:usb0="00000000" w:usb1="00000000" w:usb2="00000010" w:usb3="00000000" w:csb0="002A0005" w:csb1="00000000"/>
  </w:font>
  <w:font w:name="Humanst521 Lt BT">
    <w:altName w:val="Arial"/>
    <w:charset w:val="00"/>
    <w:family w:val="swiss"/>
    <w:pitch w:val="default"/>
    <w:sig w:usb0="00000000"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D6" w:rsidRDefault="00AA7AD6">
      <w:pPr>
        <w:spacing w:after="0" w:line="240" w:lineRule="auto"/>
      </w:pPr>
      <w:r>
        <w:separator/>
      </w:r>
    </w:p>
  </w:footnote>
  <w:footnote w:type="continuationSeparator" w:id="1">
    <w:p w:rsidR="00AA7AD6" w:rsidRDefault="00AA7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7E17CF" w:rsidP="004C545C">
    <w:pPr>
      <w:pStyle w:val="Header"/>
      <w:jc w:val="center"/>
      <w:rPr>
        <w:rFonts w:ascii="Humanst521 Lt BT" w:eastAsia="Adobe Myungjo Std M" w:hAnsi="Humanst521 Lt BT"/>
        <w:sz w:val="16"/>
        <w:lang w:val="en-US"/>
      </w:rPr>
    </w:pPr>
    <w:r w:rsidRPr="00464A53">
      <w:rPr>
        <w:rFonts w:ascii="Palatino Linotype" w:eastAsia="Adobe Myungjo Std M" w:hAnsi="Palatino Linotype"/>
        <w:sz w:val="20"/>
        <w:szCs w:val="20"/>
        <w:lang w:val="en-US"/>
      </w:rPr>
      <w:t>Alpon Satrianto</w:t>
    </w:r>
    <w:r w:rsidRPr="00464A53">
      <w:rPr>
        <w:rFonts w:ascii="Palatino Linotype" w:eastAsia="Adobe Myungjo Std M" w:hAnsi="Palatino Linotype"/>
        <w:sz w:val="20"/>
        <w:szCs w:val="20"/>
      </w:rPr>
      <w:t xml:space="preserve">, </w:t>
    </w:r>
    <w:r w:rsidRPr="00464A53">
      <w:rPr>
        <w:rFonts w:ascii="Palatino Linotype" w:hAnsi="Palatino Linotype"/>
        <w:sz w:val="20"/>
        <w:szCs w:val="20"/>
      </w:rPr>
      <w:t xml:space="preserve">Fiscal and </w:t>
    </w:r>
    <w:r w:rsidRPr="00464A53">
      <w:rPr>
        <w:rFonts w:ascii="Palatino Linotype" w:hAnsi="Palatino Linotype"/>
        <w:sz w:val="20"/>
        <w:szCs w:val="20"/>
        <w:lang w:val="en-US"/>
      </w:rPr>
      <w:t>M</w:t>
    </w:r>
    <w:r w:rsidRPr="00464A53">
      <w:rPr>
        <w:rFonts w:ascii="Palatino Linotype" w:hAnsi="Palatino Linotype"/>
        <w:sz w:val="20"/>
        <w:szCs w:val="20"/>
      </w:rPr>
      <w:t>onetary Policy</w:t>
    </w:r>
    <w:r>
      <w:rPr>
        <w:rFonts w:ascii="Palatino Linotype" w:hAnsi="Palatino Linotype"/>
        <w:sz w:val="20"/>
        <w:szCs w:val="20"/>
        <w:lang w:val="en-US"/>
      </w:rPr>
      <w:t>…</w:t>
    </w:r>
  </w:p>
  <w:p w:rsidR="00077E67" w:rsidRDefault="00997DBE">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490619">
      <w:rPr>
        <w:rFonts w:ascii="Humanst521 BT" w:hAnsi="Humanst521 BT"/>
        <w:noProof/>
      </w:rPr>
      <w:t>11</w:t>
    </w:r>
    <w:r>
      <w:rPr>
        <w:rFonts w:ascii="Humanst521 BT" w:hAnsi="Humanst521 BT"/>
      </w:rPr>
      <w:fldChar w:fldCharType="end"/>
    </w:r>
  </w:p>
  <w:p w:rsidR="00077E67" w:rsidRDefault="00077E67">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997DBE">
    <w:pPr>
      <w:pStyle w:val="Header"/>
      <w:tabs>
        <w:tab w:val="clear" w:pos="4513"/>
        <w:tab w:val="clear" w:pos="9026"/>
        <w:tab w:val="left" w:pos="1942"/>
      </w:tabs>
      <w:ind w:left="-142"/>
      <w:jc w:val="right"/>
      <w:rPr>
        <w:rFonts w:ascii="Calisto MT" w:hAnsi="Calisto MT"/>
        <w:b/>
        <w:szCs w:val="20"/>
        <w:lang w:val="en-US"/>
      </w:rPr>
    </w:pPr>
    <w:r w:rsidRPr="00997DBE">
      <w:rPr>
        <w:noProof/>
        <w:lang w:val="en-US"/>
      </w:rPr>
      <w:pict>
        <v:shapetype id="_x0000_t202" coordsize="21600,21600" o:spt="202" path="m,l,21600r21600,l21600,xe">
          <v:stroke joinstyle="miter"/>
          <v:path gradientshapeok="t" o:connecttype="rect"/>
        </v:shapetype>
        <v:shape id="_x0000_s6145"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997DBE" w:rsidRDefault="00AA7AD6">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997DBE" w:rsidRDefault="00AA7AD6">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997DBE" w:rsidRDefault="00AA7AD6">
                <w:pPr>
                  <w:spacing w:after="0" w:line="240" w:lineRule="auto"/>
                  <w:jc w:val="center"/>
                  <w:rPr>
                    <w:b/>
                    <w:bCs/>
                    <w:sz w:val="16"/>
                    <w:szCs w:val="16"/>
                    <w:lang w:val="en-US"/>
                  </w:rPr>
                </w:pPr>
                <w:r>
                  <w:rPr>
                    <w:b/>
                    <w:bCs/>
                    <w:sz w:val="20"/>
                    <w:szCs w:val="20"/>
                    <w:lang w:val="en-US"/>
                  </w:rPr>
                  <w:t>-- 2018 --</w:t>
                </w:r>
              </w:p>
              <w:p w:rsidR="00997DBE" w:rsidRDefault="00997DBE">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42C62"/>
    <w:multiLevelType w:val="hybridMultilevel"/>
    <w:tmpl w:val="16DC7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C53413"/>
    <w:multiLevelType w:val="hybridMultilevel"/>
    <w:tmpl w:val="79F65C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6"/>
    </o:shapelayout>
  </w:hdrShapeDefaults>
  <w:footnotePr>
    <w:footnote w:id="0"/>
    <w:footnote w:id="1"/>
  </w:footnotePr>
  <w:endnotePr>
    <w:endnote w:id="0"/>
    <w:endnote w:id="1"/>
  </w:endnotePr>
  <w:compat/>
  <w:rsids>
    <w:rsidRoot w:val="00816279"/>
    <w:rsid w:val="000059D9"/>
    <w:rsid w:val="00011F13"/>
    <w:rsid w:val="000131E4"/>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9537E"/>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C33C8"/>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90619"/>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85336"/>
    <w:rsid w:val="00595A4B"/>
    <w:rsid w:val="00596882"/>
    <w:rsid w:val="005A3233"/>
    <w:rsid w:val="005A3C29"/>
    <w:rsid w:val="005B2779"/>
    <w:rsid w:val="005B39DA"/>
    <w:rsid w:val="005B4AA2"/>
    <w:rsid w:val="005B72FA"/>
    <w:rsid w:val="005C4536"/>
    <w:rsid w:val="005D4F37"/>
    <w:rsid w:val="005E5BCA"/>
    <w:rsid w:val="005F6785"/>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A5363"/>
    <w:rsid w:val="007B0CB3"/>
    <w:rsid w:val="007B6718"/>
    <w:rsid w:val="007C054C"/>
    <w:rsid w:val="007C31C2"/>
    <w:rsid w:val="007C4FBD"/>
    <w:rsid w:val="007C755D"/>
    <w:rsid w:val="007E17CF"/>
    <w:rsid w:val="007F0C47"/>
    <w:rsid w:val="0080719E"/>
    <w:rsid w:val="00816279"/>
    <w:rsid w:val="0081721F"/>
    <w:rsid w:val="00825A8F"/>
    <w:rsid w:val="0083239A"/>
    <w:rsid w:val="00832DF8"/>
    <w:rsid w:val="00841BC0"/>
    <w:rsid w:val="00841D4E"/>
    <w:rsid w:val="0084423F"/>
    <w:rsid w:val="00867B2D"/>
    <w:rsid w:val="008723E3"/>
    <w:rsid w:val="00881BD1"/>
    <w:rsid w:val="00882530"/>
    <w:rsid w:val="00897401"/>
    <w:rsid w:val="008A2262"/>
    <w:rsid w:val="008B5EAA"/>
    <w:rsid w:val="008D642C"/>
    <w:rsid w:val="008F3630"/>
    <w:rsid w:val="008F7B44"/>
    <w:rsid w:val="009015B1"/>
    <w:rsid w:val="009024FF"/>
    <w:rsid w:val="009068EA"/>
    <w:rsid w:val="00923A79"/>
    <w:rsid w:val="0092400D"/>
    <w:rsid w:val="00930905"/>
    <w:rsid w:val="009325FE"/>
    <w:rsid w:val="00934020"/>
    <w:rsid w:val="00935172"/>
    <w:rsid w:val="00942F16"/>
    <w:rsid w:val="009434FE"/>
    <w:rsid w:val="009445EE"/>
    <w:rsid w:val="009651D0"/>
    <w:rsid w:val="00977E7C"/>
    <w:rsid w:val="00982F8A"/>
    <w:rsid w:val="0098322B"/>
    <w:rsid w:val="00983276"/>
    <w:rsid w:val="009903C6"/>
    <w:rsid w:val="0099553B"/>
    <w:rsid w:val="00997DBE"/>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A7AD6"/>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0BDD"/>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BE"/>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97DBE"/>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997DBE"/>
    <w:pPr>
      <w:spacing w:after="120"/>
      <w:ind w:left="283"/>
    </w:pPr>
  </w:style>
  <w:style w:type="paragraph" w:styleId="BodyTextIndent2">
    <w:name w:val="Body Text Indent 2"/>
    <w:basedOn w:val="Normal"/>
    <w:link w:val="BodyTextIndent2Char"/>
    <w:uiPriority w:val="99"/>
    <w:unhideWhenUsed/>
    <w:qFormat/>
    <w:rsid w:val="00997DBE"/>
    <w:pPr>
      <w:spacing w:after="120" w:line="480" w:lineRule="auto"/>
      <w:ind w:left="283"/>
    </w:pPr>
  </w:style>
  <w:style w:type="paragraph" w:styleId="Footer">
    <w:name w:val="footer"/>
    <w:basedOn w:val="Normal"/>
    <w:link w:val="FooterChar"/>
    <w:uiPriority w:val="99"/>
    <w:unhideWhenUsed/>
    <w:qFormat/>
    <w:rsid w:val="00997DBE"/>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997DBE"/>
    <w:pPr>
      <w:spacing w:after="0" w:line="240" w:lineRule="auto"/>
    </w:pPr>
    <w:rPr>
      <w:sz w:val="20"/>
      <w:szCs w:val="20"/>
    </w:rPr>
  </w:style>
  <w:style w:type="paragraph" w:styleId="Header">
    <w:name w:val="header"/>
    <w:basedOn w:val="Normal"/>
    <w:link w:val="HeaderChar"/>
    <w:uiPriority w:val="99"/>
    <w:unhideWhenUsed/>
    <w:rsid w:val="00997DBE"/>
    <w:pPr>
      <w:tabs>
        <w:tab w:val="center" w:pos="4513"/>
        <w:tab w:val="right" w:pos="9026"/>
      </w:tabs>
      <w:spacing w:after="0" w:line="240" w:lineRule="auto"/>
    </w:pPr>
  </w:style>
  <w:style w:type="character" w:styleId="FollowedHyperlink">
    <w:name w:val="FollowedHyperlink"/>
    <w:uiPriority w:val="99"/>
    <w:unhideWhenUsed/>
    <w:qFormat/>
    <w:rsid w:val="00997DBE"/>
    <w:rPr>
      <w:color w:val="800080"/>
      <w:u w:val="single"/>
    </w:rPr>
  </w:style>
  <w:style w:type="character" w:styleId="FootnoteReference">
    <w:name w:val="footnote reference"/>
    <w:uiPriority w:val="99"/>
    <w:unhideWhenUsed/>
    <w:qFormat/>
    <w:rsid w:val="00997DBE"/>
    <w:rPr>
      <w:vertAlign w:val="superscript"/>
    </w:rPr>
  </w:style>
  <w:style w:type="character" w:styleId="Hyperlink">
    <w:name w:val="Hyperlink"/>
    <w:uiPriority w:val="99"/>
    <w:unhideWhenUsed/>
    <w:rsid w:val="00997DBE"/>
    <w:rPr>
      <w:color w:val="0000FF"/>
      <w:u w:val="single"/>
    </w:rPr>
  </w:style>
  <w:style w:type="table" w:styleId="TableGrid">
    <w:name w:val="Table Grid"/>
    <w:basedOn w:val="TableNormal"/>
    <w:uiPriority w:val="59"/>
    <w:unhideWhenUsed/>
    <w:qFormat/>
    <w:rsid w:val="00997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997DBE"/>
    <w:pPr>
      <w:ind w:left="720"/>
      <w:contextualSpacing/>
    </w:pPr>
  </w:style>
  <w:style w:type="character" w:customStyle="1" w:styleId="FootnoteTextChar">
    <w:name w:val="Footnote Text Char"/>
    <w:link w:val="FootnoteText"/>
    <w:uiPriority w:val="99"/>
    <w:semiHidden/>
    <w:qFormat/>
    <w:rsid w:val="00997DBE"/>
    <w:rPr>
      <w:sz w:val="20"/>
      <w:szCs w:val="20"/>
    </w:rPr>
  </w:style>
  <w:style w:type="character" w:customStyle="1" w:styleId="BodyTextIndentChar">
    <w:name w:val="Body Text Indent Char"/>
    <w:basedOn w:val="DefaultParagraphFont"/>
    <w:link w:val="BodyTextIndent"/>
    <w:uiPriority w:val="99"/>
    <w:semiHidden/>
    <w:rsid w:val="00997DBE"/>
  </w:style>
  <w:style w:type="character" w:customStyle="1" w:styleId="BodyTextIndent2Char">
    <w:name w:val="Body Text Indent 2 Char"/>
    <w:basedOn w:val="DefaultParagraphFont"/>
    <w:link w:val="BodyTextIndent2"/>
    <w:uiPriority w:val="99"/>
    <w:qFormat/>
    <w:rsid w:val="00997DBE"/>
  </w:style>
  <w:style w:type="character" w:customStyle="1" w:styleId="HeaderChar">
    <w:name w:val="Header Char"/>
    <w:basedOn w:val="DefaultParagraphFont"/>
    <w:link w:val="Header"/>
    <w:uiPriority w:val="99"/>
    <w:rsid w:val="00997DBE"/>
  </w:style>
  <w:style w:type="character" w:customStyle="1" w:styleId="FooterChar">
    <w:name w:val="Footer Char"/>
    <w:basedOn w:val="DefaultParagraphFont"/>
    <w:link w:val="Footer"/>
    <w:uiPriority w:val="99"/>
    <w:qFormat/>
    <w:rsid w:val="00997DBE"/>
  </w:style>
  <w:style w:type="character" w:customStyle="1" w:styleId="BalloonTextChar">
    <w:name w:val="Balloon Text Char"/>
    <w:link w:val="BalloonText"/>
    <w:uiPriority w:val="99"/>
    <w:semiHidden/>
    <w:qFormat/>
    <w:rsid w:val="00997DBE"/>
    <w:rPr>
      <w:rFonts w:ascii="Tahoma" w:hAnsi="Tahoma" w:cs="Tahoma"/>
      <w:sz w:val="16"/>
      <w:szCs w:val="16"/>
    </w:rPr>
  </w:style>
  <w:style w:type="character" w:customStyle="1" w:styleId="hps">
    <w:name w:val="hps"/>
    <w:basedOn w:val="DefaultParagraphFont"/>
    <w:rsid w:val="00997DBE"/>
  </w:style>
  <w:style w:type="table" w:customStyle="1" w:styleId="PlainTable2">
    <w:name w:val="Plain Table 2"/>
    <w:basedOn w:val="TableNormal"/>
    <w:uiPriority w:val="42"/>
    <w:qFormat/>
    <w:rsid w:val="00997DB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997DBE"/>
    <w:rPr>
      <w:sz w:val="22"/>
      <w:szCs w:val="22"/>
      <w:lang w:val="id-ID"/>
    </w:rPr>
  </w:style>
  <w:style w:type="paragraph" w:customStyle="1" w:styleId="OpenAcces">
    <w:name w:val="Open Acces"/>
    <w:basedOn w:val="Normal"/>
    <w:link w:val="OpenAccesChar"/>
    <w:qFormat/>
    <w:rsid w:val="00997DBE"/>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997DBE"/>
    <w:rPr>
      <w:rFonts w:ascii="Arial" w:eastAsia="Times New Roman" w:hAnsi="Arial" w:cs="Arial"/>
      <w:color w:val="000000"/>
      <w:sz w:val="15"/>
      <w:szCs w:val="16"/>
    </w:rPr>
  </w:style>
  <w:style w:type="table" w:customStyle="1" w:styleId="TableGrid1">
    <w:name w:val="Table Grid1"/>
    <w:basedOn w:val="TableNormal"/>
    <w:next w:val="TableNormal"/>
    <w:uiPriority w:val="59"/>
    <w:rsid w:val="007E17CF"/>
    <w:pPr>
      <w:spacing w:after="0" w:line="240" w:lineRule="auto"/>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5017B7C-5148-4029-BC3F-5EE903AA1C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28</TotalTime>
  <Pages>11</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user</cp:lastModifiedBy>
  <cp:revision>18</cp:revision>
  <cp:lastPrinted>2017-01-08T16:59:00Z</cp:lastPrinted>
  <dcterms:created xsi:type="dcterms:W3CDTF">2018-02-05T07:52:00Z</dcterms:created>
  <dcterms:modified xsi:type="dcterms:W3CDTF">2018-06-23T15:21:00Z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